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rId49.pdf" ContentType="application/pdf"/>
  <Override PartName="/word/media/rId171.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E. Taylor</w:t>
      </w:r>
      <w:r>
        <w:rPr>
          <w:vertAlign w:val="superscript"/>
        </w:rPr>
        <w:t xml:space="preserve">1</w:t>
      </w:r>
      <w:r>
        <w:t xml:space="preserve">,</w:t>
      </w:r>
      <w:r>
        <w:t xml:space="preserve"> </w:t>
      </w:r>
      <w:r>
        <w:t xml:space="preserve">Sarah N. Inwood</w:t>
      </w:r>
      <w:r>
        <w:rPr>
          <w:vertAlign w:val="superscript"/>
        </w:rPr>
        <w:t xml:space="preserve">1</w:t>
      </w:r>
      <w:r>
        <w:t xml:space="preserve">,</w:t>
      </w:r>
      <w:r>
        <w:t xml:space="preserve"> </w:t>
      </w:r>
      <w:r>
        <w:t xml:space="preserve">Tracey van Stijn</w:t>
      </w:r>
      <w:r>
        <w:rPr>
          <w:vertAlign w:val="superscript"/>
        </w:rPr>
        <w:t xml:space="preserve">3</w:t>
      </w:r>
      <w:r>
        <w:t xml:space="preserve">,</w:t>
      </w:r>
      <w:r>
        <w:t xml:space="preserve"> </w:t>
      </w:r>
      <w:r>
        <w:t xml:space="preserve">Hannah Henry</w:t>
      </w:r>
      <w:r>
        <w:rPr>
          <w:vertAlign w:val="superscript"/>
        </w:rPr>
        <w:t xml:space="preserve">3</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L. Ashby</w:t>
      </w:r>
      <w:r>
        <w:rPr>
          <w:vertAlign w:val="superscript"/>
        </w:rPr>
        <w:t xml:space="preserve">3</w:t>
      </w:r>
      <w:r>
        <w:t xml:space="preserve">,</w:t>
      </w:r>
      <w:r>
        <w:t xml:space="preserve"> </w:t>
      </w:r>
      <w:r>
        <w:t xml:space="preserve">Jeanne M.E. Jacobs</w:t>
      </w:r>
      <w:r>
        <w:rPr>
          <w:vertAlign w:val="superscript"/>
        </w:rPr>
        <w:t xml:space="preserve">4,5</w:t>
      </w:r>
      <w:r>
        <w:t xml:space="preserve">,</w:t>
      </w:r>
      <w:r>
        <w:t xml:space="preserve"> </w:t>
      </w:r>
      <w:r>
        <w:t xml:space="preserve">Stephen L. Goldson</w:t>
      </w:r>
      <w:r>
        <w:rPr>
          <w:vertAlign w:val="superscript"/>
        </w:rPr>
        <w:t xml:space="preserve">4,5</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Grasslands Research Centre, Palmerston north 4410, New Zealand.</w:t>
      </w:r>
      <w:r>
        <w:br/>
      </w:r>
      <w:r>
        <w:rPr>
          <w:vertAlign w:val="superscript"/>
        </w:rPr>
        <w:t xml:space="preserve">3</w:t>
      </w:r>
      <w:r>
        <w:t xml:space="preserve"> </w:t>
      </w:r>
      <w:r>
        <w:t xml:space="preserve">AgResearch, Invermay Agricultural Centre, Private Bag 50034, Mosgiel, New Zealand</w:t>
      </w:r>
      <w:r>
        <w:br/>
      </w:r>
      <w:r>
        <w:rPr>
          <w:vertAlign w:val="superscript"/>
        </w:rPr>
        <w:t xml:space="preserve">4</w:t>
      </w:r>
      <w:r>
        <w:t xml:space="preserve"> </w:t>
      </w:r>
      <w:r>
        <w:t xml:space="preserve">AgResearch, Lincoln Science Centre, Private Bag 4749, Christchurch 8140, New Zealand.</w:t>
      </w:r>
      <w:r>
        <w:br/>
      </w:r>
      <w:r>
        <w:rPr>
          <w:vertAlign w:val="superscript"/>
        </w:rPr>
        <w:t xml:space="preserve">5</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a control agent has established, but this depends on the agent’s ability to adapt to evolution in the host.</w:t>
      </w:r>
      <w:r>
        <w:t xml:space="preserve"> </w:t>
      </w:r>
      <w:r>
        <w:t xml:space="preserve">Theoretical studies have shown that unequal genetic variation between the host and the control agent will lead to rapid evolution of resistance in the host.</w:t>
      </w:r>
      <w:r>
        <w:t xml:space="preserve"> </w:t>
      </w:r>
      <w:r>
        <w:t xml:space="preserve">Although this has been reported in one instance, the underlying genetics have not been studied.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of the weevil,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population structure, consistent with a large effective population size and frequent gene flow.</w:t>
      </w:r>
      <w:r>
        <w:t xml:space="preserve"> </w:t>
      </w:r>
      <w:r>
        <w:t xml:space="preserve">This implies that Argentine stem weevils were able to evolve more rapidly than their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keywords"/>
      <w:r>
        <w:t xml:space="preserve">Keywords</w:t>
      </w:r>
      <w:bookmarkEnd w:id="22"/>
    </w:p>
    <w:p>
      <w:pPr>
        <w:pStyle w:val="FirstParagraph"/>
      </w:pPr>
      <w:r>
        <w:t xml:space="preserve">Biological control</w:t>
      </w:r>
      <w:r>
        <w:br/>
      </w:r>
      <w:r>
        <w:t xml:space="preserve">Invasive species</w:t>
      </w:r>
      <w:r>
        <w:br/>
      </w:r>
      <w:r>
        <w:t xml:space="preserve">Argentine stem weevil</w:t>
      </w:r>
      <w:r>
        <w:br/>
      </w:r>
      <w:r>
        <w:t xml:space="preserve">Population genetics</w:t>
      </w:r>
      <w:r>
        <w:br/>
      </w:r>
      <w:r>
        <w:t xml:space="preserve">Genotyping-by-sequencing</w:t>
      </w:r>
      <w:r>
        <w:t xml:space="preserve"> </w:t>
      </w:r>
    </w:p>
    <w:p>
      <w:pPr>
        <w:pStyle w:val="Heading2"/>
      </w:pPr>
      <w:bookmarkStart w:id="23" w:name="introduction"/>
      <w:r>
        <w:t xml:space="preserve">Introduction</w:t>
      </w:r>
      <w:bookmarkEnd w:id="23"/>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based on a very low number of introduced Palearctic plant species, and are particularity susceptible to pest impacts</w:t>
      </w:r>
      <w:r>
        <w:t xml:space="preserve"> </w:t>
      </w:r>
      <w:r>
        <w:t xml:space="preserve">[5]</w:t>
      </w:r>
      <w:r>
        <w:t xml:space="preserve">.</w:t>
      </w:r>
      <w:r>
        <w:t xml:space="preserve"> </w:t>
      </w:r>
      <w:r>
        <w:t xml:space="preserve">This susceptibility is due to low plant and animal diversity, resulting in low biotic resistance to invasive species</w:t>
      </w:r>
      <w:r>
        <w:t xml:space="preserve"> </w:t>
      </w:r>
      <w:r>
        <w:t xml:space="preserve">[5]</w:t>
      </w:r>
      <w:r>
        <w:t xml:space="preserve">.</w:t>
      </w:r>
      <w:r>
        <w:t xml:space="preserve"> </w:t>
      </w:r>
      <w:r>
        <w:t xml:space="preserve">In New Zealand, adult ASW populations can reach densities of 700 adults m</w:t>
      </w:r>
      <w:r>
        <w:rPr>
          <w:vertAlign w:val="superscript"/>
        </w:rPr>
        <w:t xml:space="preserve">-2</w:t>
      </w:r>
      <w:r>
        <w:t xml:space="preserve"> </w:t>
      </w:r>
      <w:r>
        <w:t xml:space="preserve">and cause economic impacts of up to NZ$200M per annum</w:t>
      </w:r>
      <w:r>
        <w:t xml:space="preserve"> </w:t>
      </w:r>
      <w:r>
        <w:t xml:space="preserve">[6–8]</w:t>
      </w:r>
      <w:r>
        <w:t xml:space="preserve">.</w:t>
      </w:r>
      <w:r>
        <w:t xml:space="preserve"> </w:t>
      </w:r>
      <w:r>
        <w:t xml:space="preserve">Conventional chemical control of ASW is ineffective, environmentally damaging and uneconomical (reviewed in</w:t>
      </w:r>
      <w:r>
        <w:t xml:space="preserve"> </w:t>
      </w:r>
      <w:r>
        <w:t xml:space="preserve">[9]</w:t>
      </w:r>
      <w:r>
        <w:t xml:space="preserve">;</w:t>
      </w:r>
      <w:r>
        <w:t xml:space="preserve"> </w:t>
      </w:r>
      <w:r>
        <w:t xml:space="preserve">[10]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resistance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had reached 90%</w:t>
      </w:r>
      <w:r>
        <w:t xml:space="preserve"> </w:t>
      </w:r>
      <w:r>
        <w:t xml:space="preserve">[13]</w:t>
      </w:r>
      <w:r>
        <w:t xml:space="preserve">, reducing or eliminating damage to pasture</w:t>
      </w:r>
      <w:r>
        <w:t xml:space="preserve"> </w:t>
      </w:r>
      <w:r>
        <w:t xml:space="preserve">[13–15]</w:t>
      </w:r>
      <w:r>
        <w:t xml:space="preserve">.</w:t>
      </w:r>
    </w:p>
    <w:p>
      <w:pPr>
        <w:pStyle w:val="TextBody"/>
      </w:pPr>
      <w:r>
        <w:t xml:space="preserve">Although ASW was initially suppressed by</w:t>
      </w:r>
      <w:r>
        <w:t xml:space="preserve"> </w:t>
      </w:r>
      <w:r>
        <w:rPr>
          <w:i/>
        </w:rPr>
        <w:t xml:space="preserve">M. hyperodae</w:t>
      </w:r>
      <w:r>
        <w:t xml:space="preserve">, this began to fail after about 14 generations</w:t>
      </w:r>
      <w:r>
        <w:t xml:space="preserve"> </w:t>
      </w:r>
      <w:r>
        <w:t xml:space="preserve">[16–18]</w:t>
      </w:r>
      <w:r>
        <w:t xml:space="preserve">.</w:t>
      </w:r>
      <w:r>
        <w:t xml:space="preserve"> </w:t>
      </w:r>
      <w:r>
        <w:t xml:space="preserve">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has indicated that resistance is inevitable when hosts have more genetic variation than their predators</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w:t>
      </w:r>
    </w:p>
    <w:p>
      <w:pPr>
        <w:pStyle w:val="TextBody"/>
      </w:pPr>
      <w:r>
        <w:t xml:space="preserve">Population-level studies of genetic variation in host and parasitoid are required to explain the evolution of resistance in this case.</w:t>
      </w:r>
      <w:r>
        <w:t xml:space="preserve"> </w:t>
      </w:r>
      <w:r>
        <w:t xml:space="preserve">We address this with a genotyping-by-sequencing study of a geographical survey of 10 Argentine stem weevil populations collected from across the North and South Islands of New Zealand.</w:t>
      </w:r>
      <w:r>
        <w:t xml:space="preserve"> </w:t>
      </w:r>
      <w:r>
        <w:t xml:space="preserve">Our experiments revealed a repetitive genome with high heterozygosity and a high proportion of unstructured variation across populations.</w:t>
      </w:r>
      <w:r>
        <w:t xml:space="preserve"> </w:t>
      </w:r>
      <w:r>
        <w:t xml:space="preserve">This is consistent with large effective population size and gene flow between populations.</w:t>
      </w:r>
      <w:r>
        <w:t xml:space="preserve"> </w:t>
      </w:r>
      <w:r>
        <w:t xml:space="preserve">Genetic variation was found along a latitudinal cline, and was associated with signatures of selection in regions of the genome, indicating a level of local adaptation within populations, but at the resolution of this study we found no evidence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4" w:name="materials-and-methods"/>
      <w:r>
        <w:t xml:space="preserve">Materials and methods</w:t>
      </w:r>
      <w:bookmarkEnd w:id="24"/>
    </w:p>
    <w:p>
      <w:pPr>
        <w:pStyle w:val="Heading3"/>
      </w:pPr>
      <w:bookmarkStart w:id="25" w:name="weevil-sampling"/>
      <w:r>
        <w:t xml:space="preserve">Weevil sampling</w:t>
      </w:r>
      <w:bookmarkEnd w:id="25"/>
    </w:p>
    <w:p>
      <w:pPr>
        <w:pStyle w:val="FirstParagraph"/>
      </w:pPr>
      <w:r>
        <w:t xml:space="preserve">We collected regional ASW samples from commercially-farmed ryegrass (</w:t>
      </w:r>
      <w:r>
        <w:rPr>
          <w:i/>
        </w:rPr>
        <w:t xml:space="preserve">Lolium perenne</w:t>
      </w:r>
      <w:r>
        <w:t xml:space="preserve"> </w:t>
      </w:r>
      <w:r>
        <w:t xml:space="preserve">L.) / white clover (</w:t>
      </w:r>
      <w:r>
        <w:rPr>
          <w:i/>
        </w:rPr>
        <w:t xml:space="preserve">Trifolium repens</w:t>
      </w:r>
      <w:r>
        <w:t xml:space="preserve"> </w:t>
      </w:r>
      <w:r>
        <w:t xml:space="preserve">L.) pastures using a suction device to collect ground litter (Table 1).</w:t>
      </w:r>
      <w:r>
        <w:t xml:space="preserve"> </w:t>
      </w:r>
      <w:r>
        <w:t xml:space="preserve">Weevils were extracted from the litter in the laboratory.</w:t>
      </w:r>
      <w:r>
        <w:t xml:space="preserve"> </w:t>
      </w:r>
      <w:r>
        <w:t xml:space="preserve">The locations sampled are illustrated in Figure 1.</w:t>
      </w:r>
      <w:r>
        <w:t xml:space="preserve"> </w:t>
      </w:r>
      <w:r>
        <w:t xml:space="preserve">The map was plotted with the ggmap package for ggplot2</w:t>
      </w:r>
      <w:r>
        <w:t xml:space="preserve"> </w:t>
      </w:r>
      <w:r>
        <w:t xml:space="preserve">[23]</w:t>
      </w:r>
      <w:r>
        <w:t xml:space="preserve">, using 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p>
    <w:tbl>
      <w:tblPr>
        <w:tblStyle w:val="Table"/>
        <w:tblW w:type="pct" w:w="0.0"/>
        <w:tblLook w:firstRow="1"/>
        <w:tblCaption w:val="Table 1. Weevil collection locations (see also Figure 1)."/>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r>
    </w:tbl>
    <w:p>
      <w:pPr>
        <w:pStyle w:val="Heading3"/>
      </w:pPr>
      <w:bookmarkStart w:id="30" w:name="genome-assembly"/>
      <w:r>
        <w:t xml:space="preserve">Genome assembly</w:t>
      </w:r>
      <w:bookmarkEnd w:id="30"/>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 2.2.6</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1">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2">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3">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indicating that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We annotated the final, draft assembly with funannotate 1.7.4</w:t>
      </w:r>
      <w:r>
        <w:t xml:space="preserve"> </w:t>
      </w:r>
      <w:r>
        <w:t xml:space="preserve">[34]</w:t>
      </w:r>
      <w:r>
        <w:t xml:space="preserve">, using five RNA sequencing libraries generated from abdomens and heads of unparasitised adult ASW collected from Lincoln and Ruakura.</w:t>
      </w:r>
      <w:r>
        <w:t xml:space="preserve"> </w:t>
      </w:r>
      <w:r>
        <w:t xml:space="preserve">Reproducible code for annotating the draft ASW genome is hosted at</w:t>
      </w:r>
      <w:r>
        <w:t xml:space="preserve"> </w:t>
      </w:r>
      <w:hyperlink r:id="rId35">
        <w:r>
          <w:rPr>
            <w:rStyle w:val="InternetLink"/>
          </w:rPr>
          <w:t xml:space="preserve">github.com/TomHarrop/asw-annotate</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t xml:space="preserve">DNA extraction and double digest RADseq (genotyping-by-sequencing, GBS;</w:t>
      </w:r>
      <w:r>
        <w:t xml:space="preserve"> </w:t>
      </w:r>
      <w:r>
        <w:t xml:space="preserve">[36]</w:t>
      </w:r>
      <w:r>
        <w:t xml:space="preserve">) were performed by AgResearch, Invermay, New Zealand.</w:t>
      </w:r>
      <w:r>
        <w:t xml:space="preserve"> </w:t>
      </w:r>
      <w:r>
        <w:t xml:space="preserve">DNA was extracted from individual weevil heads using the ZR-96 Tissue &amp; Insect DNA Kit (Zymo Research, CA, U.S.A.).</w:t>
      </w:r>
      <w:r>
        <w:t xml:space="preserve"> </w:t>
      </w:r>
      <w:r>
        <w:t xml:space="preserve">The DNA was digested with</w:t>
      </w:r>
      <w:r>
        <w:t xml:space="preserve"> </w:t>
      </w:r>
      <w:r>
        <w:rPr>
          <w:i/>
        </w:rPr>
        <w:t xml:space="preserve">Ape</w:t>
      </w:r>
      <w:r>
        <w:t xml:space="preserve">KI and</w:t>
      </w:r>
      <w:r>
        <w:t xml:space="preserve"> </w:t>
      </w:r>
      <w:r>
        <w:rPr>
          <w:i/>
        </w:rPr>
        <w:t xml:space="preserve">Msp</w:t>
      </w:r>
      <w:r>
        <w:t xml:space="preserve">I and size selected on a BluePippin (Sage Science, MA, U.S.A.) with a window size of 150–500 bp.</w:t>
      </w:r>
      <w:r>
        <w:t xml:space="preserve"> </w:t>
      </w:r>
      <w:r>
        <w:t xml:space="preserve">Individual libraries were barcoded and sequencing adaptors were added based on the Elshire method</w:t>
      </w:r>
      <w:r>
        <w:t xml:space="preserve"> </w:t>
      </w:r>
      <w:r>
        <w:t xml:space="preserve">[37]</w:t>
      </w:r>
      <w:r>
        <w:t xml:space="preserve"> </w:t>
      </w:r>
      <w:r>
        <w:t xml:space="preserve">with modifications</w:t>
      </w:r>
      <w:r>
        <w:t xml:space="preserve"> </w:t>
      </w:r>
      <w:r>
        <w:t xml:space="preserve">[38]</w:t>
      </w:r>
      <w:r>
        <w:t xml:space="preserve">, and 100 b single-end reads were generated from pooled libraries an Illumina HiSeq 2500 instrument.</w:t>
      </w:r>
    </w:p>
    <w:p>
      <w:pPr>
        <w:pStyle w:val="TextBody"/>
      </w:pPr>
      <w:r>
        <w:t xml:space="preserve">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[39]</w:t>
      </w:r>
      <w:r>
        <w:t xml:space="preserve">.</w:t>
      </w:r>
    </w:p>
    <w:p>
      <w:pPr>
        <w:pStyle w:val="TextBody"/>
      </w:pPr>
      <w:r>
        <w:t xml:space="preserve">For analysis, we used bcftools 1.10 to remove sites with more than 2 alleles, minor allele frequency &lt; 0.05, or missing genotypes in more than 20% of individuals.</w:t>
      </w:r>
      <w:r>
        <w:t xml:space="preserve"> </w:t>
      </w:r>
      <w:r>
        <w:t xml:space="preserve">After filtering loci, we also removed individuals that had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[39]</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[40]</w:t>
      </w:r>
      <w:r>
        <w:t xml:space="preserve"> </w:t>
      </w:r>
      <w:r>
        <w:t xml:space="preserve">to prune sites in linkage disequilibrium for principal components analysis and discriminant analysis of principal components with the adegenet 2.1.2 package for R</w:t>
      </w:r>
      <w:r>
        <w:t xml:space="preserve"> </w:t>
      </w:r>
      <w:r>
        <w:t xml:space="preserve">[41,42]</w:t>
      </w:r>
      <w:r>
        <w:t xml:space="preserve">, using the first four principal components.</w:t>
      </w:r>
      <w:r>
        <w:t xml:space="preserve"> </w:t>
      </w:r>
      <w:r>
        <w:t xml:space="preserve">We used PGDSpider 2.1.1.5</w:t>
      </w:r>
      <w:r>
        <w:t xml:space="preserve"> </w:t>
      </w:r>
      <w:r>
        <w:t xml:space="preserve">[43]</w:t>
      </w:r>
      <w:r>
        <w:t xml:space="preserve"> </w:t>
      </w:r>
      <w:r>
        <w:t xml:space="preserve">to convert the un-pruned dataset for detection of loci under selection with BayeScan 2.1</w:t>
      </w:r>
      <w:r>
        <w:t xml:space="preserve"> </w:t>
      </w:r>
      <w:r>
        <w:t xml:space="preserve">[44]</w:t>
      </w:r>
      <w:r>
        <w:t xml:space="preserve">.</w:t>
      </w:r>
      <w:r>
        <w:t xml:space="preserve"> </w:t>
      </w:r>
      <w:r>
        <w:t xml:space="preserve">We analysed cross-population extended haplotype homozygosity with the R package rehh 3.1.0</w:t>
      </w:r>
      <w:r>
        <w:t xml:space="preserve"> </w:t>
      </w:r>
      <w:r>
        <w:t xml:space="preserve">[45]</w:t>
      </w:r>
      <w:r>
        <w:t xml:space="preserve">.</w:t>
      </w:r>
      <w:r>
        <w:t xml:space="preserve"> </w:t>
      </w:r>
      <w:r>
        <w:t xml:space="preserve">For demographic analysis, we converted the pruned dataset to minor allele (folded) site frequency spectra using easysfs commit c2b26c5 from</w:t>
      </w:r>
      <w:r>
        <w:t xml:space="preserve"> </w:t>
      </w:r>
      <w:hyperlink r:id="rId37">
        <w:r>
          <w:rPr>
            <w:rStyle w:val="InternetLink"/>
          </w:rPr>
          <w:t xml:space="preserve">github.com/isaacovercast/easySFS</w:t>
        </w:r>
      </w:hyperlink>
      <w:r>
        <w:t xml:space="preserve">.</w:t>
      </w:r>
      <w:r>
        <w:t xml:space="preserve"> </w:t>
      </w:r>
      <w:r>
        <w:t xml:space="preserve">We estimated likelihood for each demographic model ten times using</w:t>
      </w:r>
      <w:r>
        <w:t xml:space="preserve"> </w:t>
      </w:r>
      <w:r>
        <w:t xml:space="preserve">fastsimcoal2 2.6</w:t>
      </w:r>
      <w:r>
        <w:t xml:space="preserve"> </w:t>
      </w:r>
      <w:r>
        <w:t xml:space="preserve">[46]</w:t>
      </w:r>
      <w:r>
        <w:t xml:space="preserve"> </w:t>
      </w:r>
      <w:r>
        <w:t xml:space="preserve">with 1 million simulations and 60 optimisation cycles per run.</w:t>
      </w:r>
      <w:r>
        <w:t xml:space="preserve"> </w:t>
      </w:r>
      <w:r>
        <w:t xml:space="preserve">We compared model runs using delta likelihood (maximum observed likelihood - maximum estimated likelihood) and Akaike information criteria</w:t>
      </w:r>
      <w:r>
        <w:t xml:space="preserve"> </w:t>
      </w:r>
      <w:r>
        <w:t xml:space="preserve">[47]</w:t>
      </w:r>
      <w:r>
        <w:t xml:space="preserve">.</w:t>
      </w:r>
    </w:p>
    <w:p>
      <w:pPr>
        <w:pStyle w:val="TextBody"/>
      </w:pPr>
      <w:r>
        <w:t xml:space="preserve">All the code we used to process the raw reads, assemble loci and run downstream analyses is hosted at</w:t>
      </w:r>
      <w:r>
        <w:t xml:space="preserve"> </w:t>
      </w:r>
      <w:hyperlink r:id="rId38">
        <w:r>
          <w:rPr>
            <w:rStyle w:val="InternetLink"/>
          </w:rPr>
          <w:t xml:space="preserve">github.com/TomHarrop/stacks-asw</w:t>
        </w:r>
      </w:hyperlink>
      <w:r>
        <w:t xml:space="preserve">, including the parameters and software containers for each step.</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assembly and annotation and raw GBS reads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[48]</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[49]</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28–48% in the individual we sequenced (Supplementary Figure 1).</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Gaps (%)</w:t>
            </w:r>
          </w:p>
        </w:tc>
        <w:tc>
          <w:p>
            <w:pPr>
              <w:pStyle w:val="Compact"/>
              <w:jc w:val="left"/>
            </w:pPr>
            <w:r>
              <w:t xml:space="preserve">3.5</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right"/>
            </w:pPr>
            <w:r>
              <w:t xml:space="preserve">GC content (%)</w:t>
            </w:r>
          </w:p>
        </w:tc>
        <w:tc>
          <w:p>
            <w:pPr>
              <w:pStyle w:val="Compact"/>
              <w:jc w:val="left"/>
            </w:pPr>
            <w:r>
              <w:t xml:space="preserve">30.6</w:t>
            </w:r>
          </w:p>
        </w:tc>
        <w:tc>
          <w:p>
            <w:pPr>
              <w:pStyle w:val="Compact"/>
              <w:jc w:val="left"/>
            </w:pPr>
            <w:r>
              <w:t xml:space="preserve">31.3</w:t>
            </w:r>
          </w:p>
        </w:tc>
        <w:tc>
          <w:p>
            <w:pPr>
              <w:pStyle w:val="Compact"/>
              <w:jc w:val="left"/>
            </w:pPr>
            <w:r>
              <w:t xml:space="preserve">31.4</w:t>
            </w:r>
          </w:p>
        </w:tc>
        <w:tc>
          <w:p>
            <w:pPr>
              <w:pStyle w:val="Compact"/>
              <w:jc w:val="left"/>
            </w:pPr>
            <w:r>
              <w:t xml:space="preserve">31.4</w:t>
            </w:r>
          </w:p>
        </w:tc>
        <w:tc>
          <w:p>
            <w:pPr>
              <w:pStyle w:val="Compact"/>
              <w:jc w:val="left"/>
            </w:pPr>
            <w:r>
              <w:t xml:space="preserve">31.3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[37,38]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[39]</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[41]</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r>
        <w:t xml:space="preserve"> </w:t>
      </w:r>
      <w:r>
        <w:t xml:space="preserve">This suggests that the Main Divide, which runs along the Southern Alps and divides the South Island, is the main geographic barrier to ASW populations in New Zealand.</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partitions the South Island.</w:t>
      </w:r>
      <w:r>
        <w:t xml:space="preserve"> </w:t>
      </w:r>
      <w:r>
        <w:t xml:space="preserve">The number of weevils genotyped from each location is shown on the map.</w:t>
      </w:r>
      <w:r>
        <w:t xml:space="preserve"> </w:t>
      </w:r>
      <w:r>
        <w:t xml:space="preserve">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w:t>
      </w:r>
      <w:r>
        <w:t xml:space="preserve"> </w:t>
      </w:r>
      <w:r>
        <w:t xml:space="preserve">This is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the extent of historical declines in parasitism rates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[50,51]</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α: BayeScan’s locus-specific component of FST coefficient [44]. Positive values suggest diversifying selection."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r>
        <w:t xml:space="preserve"> </w:t>
      </w:r>
      <w:r>
        <w:t xml:space="preserve">α: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w:t>
      </w:r>
      <w:r>
        <w:t xml:space="preserve"> </w:t>
      </w:r>
      <w:r>
        <w:t xml:space="preserve">Positive values suggest diversifying selection.</w:t>
      </w:r>
    </w:p>
    <w:p>
      <w:pPr>
        <w:pStyle w:val="TableCaption"/>
      </w:pPr>
      <w:r>
        <w:rPr>
          <w:b/>
        </w:rPr>
        <w:t xml:space="preserve">Table 4</w:t>
      </w:r>
      <w:r>
        <w:t xml:space="preserve">.</w:t>
      </w:r>
      <w:r>
        <w:t xml:space="preserve"> </w:t>
      </w:r>
      <w:r>
        <w:t xml:space="preserve">Number of SNPs under selection using BayeScan</w:t>
      </w:r>
      <w:r>
        <w:t xml:space="preserve"> </w:t>
      </w:r>
      <w:r>
        <w:t xml:space="preserve">[44]</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[50,51]</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4] (Q &lt; 0.01) or cross-population extended haplotype homozygosity (XPEHH) analysis [50,51] (-log10p &gt; 4). α is BayeScan’s locus-specific component of FST coefficient [44].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3A).</w:t>
      </w:r>
      <w:r>
        <w:t xml:space="preserve"> </w:t>
      </w:r>
      <w:r>
        <w:t xml:space="preserve">The models that best matched the observed SFS had the North and South populations separated before bottlenecks, and support for these models was better when migration between populations was included.</w:t>
      </w:r>
      <w:r>
        <w:t xml:space="preserve"> </w:t>
      </w:r>
      <w:r>
        <w:t xml:space="preserve">The model with the lowest mean delta likelihood supports separate routes of entry into New Zealand, with a bottleneck in each population prior to entry and migration between the North and South populations (Figure 3B).</w:t>
      </w:r>
    </w:p>
    <w:p>
      <w:pPr>
        <w:pStyle w:val="CaptionedFigure"/>
      </w:pPr>
      <w:r>
        <w:drawing>
          <wp:inline>
            <wp:extent cx="5943600" cy="3954162"/>
            <wp:effectExtent b="0" l="0" r="0" t="0"/>
            <wp:docPr descr="Figure 3. Models used to simulate site frequency spectra (SFS) for comparison against the observed SFS. A Models i and ii represent introduction via a single route. In model i the population contracts on introduction and then begins expanding before dispersal. In model ii, dispersal occurs while the effective population size remains small. Models iii and iv represent multiple routes of entry, with or without reduction in population size compared to the current populations in New Zealand. Model v represents introduction to different sites from source populations that were isolated prior to introduction. All models were tested with and without migration between Northern and Southern populations. B Likelihood estimations from ten runs of each model. We used 1M simulations and 60 optimisation cycles per run [46]. Runs that ended with a non-finite delta likehood after 1M simulations are shown as an asterisk. The models that include a bottleneck after separation of the two populations had the lowest delta likelihoods, and model iii (with migration) had the lowest mean delta likelihood across runs." title="" id="1" name="Picture"/>
            <a:graphic>
              <a:graphicData uri="http://schemas.openxmlformats.org/drawingml/2006/picture">
                <pic:pic>
                  <pic:nvPicPr>
                    <pic:cNvPr descr="fig/figure_3.pdf" id="0" name="Picture"/>
                    <pic:cNvPicPr>
                      <a:picLocks noChangeArrowheads="1" noChangeAspect="1"/>
                    </pic:cNvPicPr>
                  </pic:nvPicPr>
                  <pic:blipFill>
                    <a:blip r:embed="rId49"/>
                    <a:stretch>
                      <a:fillRect/>
                    </a:stretch>
                  </pic:blipFill>
                  <pic:spPr bwMode="auto">
                    <a:xfrm>
                      <a:off x="0" y="0"/>
                      <a:ext cx="5943600" cy="3954162"/>
                    </a:xfrm>
                    <a:prstGeom prst="rect">
                      <a:avLst/>
                    </a:prstGeom>
                    <a:noFill/>
                    <a:ln w="9525">
                      <a:noFill/>
                      <a:headEnd/>
                      <a:tailEnd/>
                    </a:ln>
                  </pic:spPr>
                </pic:pic>
              </a:graphicData>
            </a:graphic>
          </wp:inline>
        </w:drawing>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1M simulations and 60 optimisation cycles per run</w:t>
      </w:r>
      <w:r>
        <w:t xml:space="preserve"> </w:t>
      </w:r>
      <w:r>
        <w:t xml:space="preserve">[46]</w:t>
      </w:r>
      <w:r>
        <w:t xml:space="preserve">.</w:t>
      </w:r>
      <w:r>
        <w:t xml:space="preserve"> </w:t>
      </w:r>
      <w:r>
        <w:t xml:space="preserve">Runs that ended with a non-finite delta likehood after 1M simulations are shown as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Heading2"/>
      </w:pPr>
      <w:bookmarkStart w:id="50" w:name="discussion"/>
      <w:r>
        <w:t xml:space="preserve">Discussion</w:t>
      </w:r>
      <w:bookmarkEnd w:id="50"/>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w:t>
      </w:r>
      <w:r>
        <w:t xml:space="preserve"> </w:t>
      </w:r>
      <w:r>
        <w:rPr>
          <w:i/>
        </w:rPr>
        <w:t xml:space="preserve">M. hyperodae</w:t>
      </w:r>
      <w:r>
        <w:t xml:space="preserve">.</w:t>
      </w:r>
      <w:r>
        <w:t xml:space="preserve"> </w:t>
      </w:r>
      <w:r>
        <w:t xml:space="preserve">We expect variation to be limited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biocontrol agent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[52]</w:t>
      </w:r>
      <w:r>
        <w:t xml:space="preserve">.</w:t>
      </w:r>
      <w:r>
        <w:t xml:space="preserve"> </w:t>
      </w:r>
      <w:r>
        <w:t xml:space="preserve">The earlier reports of low genetic diversity, based on traditional molecular markers</w:t>
      </w:r>
      <w:r>
        <w:t xml:space="preserve"> </w:t>
      </w:r>
      <w:r>
        <w:t xml:space="preserve">[21,22]</w:t>
      </w:r>
      <w:r>
        <w:t xml:space="preserve">, suggested a limited incursion followed by dispersal and expansion.</w:t>
      </w:r>
      <w:r>
        <w:t xml:space="preserve"> </w:t>
      </w:r>
      <w:r>
        <w:t xml:space="preserve">Our results provide three main pieces of evidence to update the proposed history of ASW incursions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points to low migration rates between these regions.</w:t>
      </w:r>
      <w:r>
        <w:t xml:space="preserve"> </w:t>
      </w:r>
      <w:r>
        <w:t xml:space="preserve">Our demographic modelling suggests that the populations expanded to their current effective sizes after already being separated into North and South populations.</w:t>
      </w:r>
      <w:r>
        <w:t xml:space="preserve"> </w:t>
      </w:r>
      <w:r>
        <w:t xml:space="preserve">The most likely scenario is separate introductions from the same source population to North and South of the Main Divide, with some migration between the two populations.</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[53,54]</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some individuals in a population survive predation.</w:t>
      </w:r>
      <w:r>
        <w:t xml:space="preserve"> </w:t>
      </w:r>
      <w:r>
        <w:t xml:space="preserve">In other words, selection by</w:t>
      </w:r>
      <w:r>
        <w:t xml:space="preserve"> </w:t>
      </w:r>
      <w:r>
        <w:rPr>
          <w:i/>
        </w:rPr>
        <w:t xml:space="preserve">M. hyperodae</w:t>
      </w:r>
      <w:r>
        <w:t xml:space="preserve"> </w:t>
      </w:r>
      <w:r>
        <w:t xml:space="preserve">acts within the survivability distribution of ASW populations.</w:t>
      </w:r>
      <w:r>
        <w:t xml:space="preserve"> </w:t>
      </w:r>
      <w:r>
        <w:t xml:space="preserve">Because we detected a large amount of standing variation in our survey of ASW populations, which may encode phenotypic variation in parasitism survivability,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(Coleoptera: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[55]</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[56]</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1">
        <w:r>
          <w:rPr>
            <w:rStyle w:val="InternetLink"/>
          </w:rPr>
          <w:t xml:space="preserve">GCA_012979105.1</w:t>
        </w:r>
      </w:hyperlink>
      <w:r>
        <w:t xml:space="preserve">) and the rice weevil (</w:t>
      </w:r>
      <w:r>
        <w:rPr>
          <w:i/>
        </w:rPr>
        <w:t xml:space="preserve">Sitophilus oryzae</w:t>
      </w:r>
      <w:r>
        <w:t xml:space="preserve">;</w:t>
      </w:r>
      <w:r>
        <w:t xml:space="preserve"> </w:t>
      </w:r>
      <w:hyperlink r:id="rId52">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w:t>
      </w:r>
      <w:r>
        <w:t xml:space="preserve"> </w:t>
      </w:r>
      <w:r>
        <w:t xml:space="preserve">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strategy to assemble the ASW genome included contig construction with the longest reads, followed by assembly polishing with long reads from a single individual, and then redundant contig removal with PCR-free short reads from another single individual.</w:t>
      </w:r>
      <w:r>
        <w:t xml:space="preserve"> </w:t>
      </w:r>
      <w:r>
        <w:t xml:space="preserve">This allowed us to optimise the contiguity and completeness of the genome whilst managing the number of redundant contigs (Table 2 ).</w:t>
      </w:r>
    </w:p>
    <w:p>
      <w:pPr>
        <w:pStyle w:val="Heading3"/>
      </w:pPr>
      <w:bookmarkStart w:id="53" w:name="conclusion"/>
      <w:r>
        <w:t xml:space="preserve">Conclusion</w:t>
      </w:r>
      <w:bookmarkEnd w:id="53"/>
    </w:p>
    <w:p>
      <w:pPr>
        <w:pStyle w:val="FirstParagraph"/>
      </w:pPr>
      <w:r>
        <w:t xml:space="preserve">Our results show that New Zealand populations of ASW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4" w:name="section"/>
      <w:bookmarkEnd w:id="54"/>
    </w:p>
    <w:p>
      <w:pPr>
        <w:pStyle w:val="Heading3"/>
      </w:pPr>
      <w:bookmarkStart w:id="55" w:name="authors-contributions"/>
      <w:r>
        <w:t xml:space="preserve">Authors’ contributions</w:t>
      </w:r>
      <w:bookmarkEnd w:id="55"/>
    </w:p>
    <w:p>
      <w:pPr>
        <w:pStyle w:val="FirstParagraph"/>
      </w:pPr>
      <w:r>
        <w:t xml:space="preserve">Conceptualization, TWRH, JMEJ, SLG, PKD;</w:t>
      </w:r>
      <w:r>
        <w:t xml:space="preserve"> </w:t>
      </w:r>
      <w:r>
        <w:t xml:space="preserve">data collection, TWRH, ST, SNI, TvS, HH, JS, SLG;</w:t>
      </w:r>
      <w:r>
        <w:t xml:space="preserve"> </w:t>
      </w:r>
      <w:r>
        <w:t xml:space="preserve">analysis, TWRH, MFLL, RJ, SG, RA;</w:t>
      </w:r>
      <w:r>
        <w:t xml:space="preserve"> </w:t>
      </w:r>
      <w:r>
        <w:t xml:space="preserve">resources, ST, JMEJ, SLG;</w:t>
      </w:r>
      <w:r>
        <w:t xml:space="preserve"> </w:t>
      </w:r>
      <w:r>
        <w:t xml:space="preserve">writing, TWRH, MFLL, JMEJ, SLG, PKD;</w:t>
      </w:r>
      <w:r>
        <w:t xml:space="preserve"> </w:t>
      </w:r>
      <w:r>
        <w:t xml:space="preserve">funding acquisition, JMEJ, SLG, PKD.</w:t>
      </w:r>
      <w:r>
        <w:t xml:space="preserve"> </w:t>
      </w:r>
      <w:r>
        <w:t xml:space="preserve">All authors have read and agreed to the published version of the manuscript.</w:t>
      </w:r>
    </w:p>
    <w:p>
      <w:pPr>
        <w:pStyle w:val="Heading3"/>
      </w:pPr>
      <w:bookmarkStart w:id="56" w:name="acknowledgements"/>
      <w:r>
        <w:t xml:space="preserve">Acknowledgements</w:t>
      </w:r>
      <w:bookmarkEnd w:id="56"/>
    </w:p>
    <w:p>
      <w:pPr>
        <w:pStyle w:val="FirstParagraph"/>
      </w:pPr>
      <w:r>
        <w:t xml:space="preserve">We thank the AgResearch Animal Genomics team (Invermay), Nathan Brandt (USDA), Shola Olaniyan (NZMPI) and Malvika Bana for their expert dissection of the ASW samples used in this study.</w:t>
      </w:r>
      <w:r>
        <w:t xml:space="preserve"> </w:t>
      </w:r>
      <w:r>
        <w:t xml:space="preserve">We are grateful to Diane Barton and Colin Ferguson (AgResearch, Invermay) for help with weevil retrieval and identification, and Joseph Guhlin (University of Otago &amp; Genomics Aotearoa) for help with annotation of the ASW genome.</w:t>
      </w:r>
      <w:r>
        <w:t xml:space="preserve"> </w:t>
      </w:r>
      <w:r>
        <w:t xml:space="preserve">We also thank the participants, organisers and instructors of the Genomics Aotearoa ONT MinION workshop in Dunedin in April 2018, where we generated the Nanopore reads for the pooled weevil samples.</w:t>
      </w:r>
    </w:p>
    <w:p>
      <w:pPr>
        <w:pStyle w:val="TextBody"/>
      </w:pPr>
      <w:r>
        <w:t xml:space="preserve">This project was supported by the NZ Ministry of Business, Innovation and Employment via its funding of the</w:t>
      </w:r>
      <w:r>
        <w:t xml:space="preserve"> </w:t>
      </w:r>
      <w:r>
        <w:t xml:space="preserve">‘</w:t>
      </w:r>
      <w:r>
        <w:t xml:space="preserve">Genomics for Production &amp; Security in a Biological Economy</w:t>
      </w:r>
      <w:r>
        <w:t xml:space="preserve">’</w:t>
      </w:r>
      <w:r>
        <w:t xml:space="preserve"> </w:t>
      </w:r>
      <w:r>
        <w:t xml:space="preserve">programme (C10X1306) to AgResearch.</w:t>
      </w:r>
    </w:p>
    <w:p>
      <w:pPr>
        <w:pStyle w:val="Heading3"/>
      </w:pPr>
      <w:bookmarkStart w:id="57" w:name="conflicts-of-interest"/>
      <w:r>
        <w:t xml:space="preserve">Conflicts of Interest</w:t>
      </w:r>
      <w:bookmarkEnd w:id="57"/>
    </w:p>
    <w:p>
      <w:pPr>
        <w:pStyle w:val="FirstParagraph"/>
      </w:pPr>
      <w:r>
        <w:t xml:space="preserve">The authors declare no conflict of interest.</w:t>
      </w:r>
    </w:p>
    <w:p>
      <w:pPr>
        <w:pStyle w:val="Heading3"/>
      </w:pPr>
      <w:bookmarkStart w:id="58" w:name="data-availability"/>
      <w:r>
        <w:t xml:space="preserve">Data availability</w:t>
      </w:r>
      <w:bookmarkEnd w:id="58"/>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9" w:name="references"/>
      <w:r>
        <w:t xml:space="preserve">References</w:t>
      </w:r>
      <w:bookmarkEnd w:id="59"/>
    </w:p>
    <w:bookmarkStart w:id="169" w:name="refs"/>
    <w:bookmarkStart w:id="61"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60">
        <w:r>
          <w:rPr>
            <w:rStyle w:val="InternetLink"/>
          </w:rPr>
          <w:t xml:space="preserve">10.1007/978-94-011-4014-0_1</w:t>
        </w:r>
      </w:hyperlink>
      <w:r>
        <w:t xml:space="preserve">.</w:t>
      </w:r>
    </w:p>
    <w:bookmarkEnd w:id="61"/>
    <w:bookmarkStart w:id="63"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2">
        <w:r>
          <w:rPr>
            <w:rStyle w:val="InternetLink"/>
          </w:rPr>
          <w:t xml:space="preserve">10.1890/0012-9658(1997)078[1673:WIBCES]2.0.CO;2</w:t>
        </w:r>
      </w:hyperlink>
      <w:r>
        <w:t xml:space="preserve">.</w:t>
      </w:r>
    </w:p>
    <w:bookmarkEnd w:id="63"/>
    <w:bookmarkStart w:id="65"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4">
        <w:r>
          <w:rPr>
            <w:rStyle w:val="InternetLink"/>
          </w:rPr>
          <w:t xml:space="preserve">10.1053/tvjl.1999.0440</w:t>
        </w:r>
      </w:hyperlink>
      <w:r>
        <w:t xml:space="preserve">.</w:t>
      </w:r>
    </w:p>
    <w:bookmarkEnd w:id="65"/>
    <w:bookmarkStart w:id="67"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6">
        <w:r>
          <w:rPr>
            <w:rStyle w:val="InternetLink"/>
          </w:rPr>
          <w:t xml:space="preserve">10.1038/35015069</w:t>
        </w:r>
      </w:hyperlink>
      <w:r>
        <w:t xml:space="preserve">.</w:t>
      </w:r>
    </w:p>
    <w:bookmarkEnd w:id="67"/>
    <w:bookmarkStart w:id="69" w:name="ref-goldsonSevereInsectPest2020a"/>
    <w:p>
      <w:pPr>
        <w:pStyle w:val="Bibliography"/>
      </w:pPr>
      <w:r>
        <w:t xml:space="preserve">5. Goldson, S.L.; Barker, G.M.; Chapman, H.M.; Popay, A.J.; Stewart, A.V.; Caradus, J.R.; Barratt, B.I.P. Severe Insect Pest Impacts on New Zealand Pasture: The Plight of an Ecological Outlier.</w:t>
      </w:r>
      <w:r>
        <w:t xml:space="preserve"> </w:t>
      </w:r>
      <w:r>
        <w:rPr>
          <w:i/>
        </w:rPr>
        <w:t xml:space="preserve">J Insect Sci</w:t>
      </w:r>
      <w:r>
        <w:t xml:space="preserve"> </w:t>
      </w:r>
      <w:r>
        <w:rPr>
          <w:b/>
        </w:rPr>
        <w:t xml:space="preserve">2020</w:t>
      </w:r>
      <w:r>
        <w:t xml:space="preserve">,</w:t>
      </w:r>
      <w:r>
        <w:t xml:space="preserve"> </w:t>
      </w:r>
      <w:r>
        <w:rPr>
          <w:i/>
        </w:rPr>
        <w:t xml:space="preserve">20</w:t>
      </w:r>
      <w:r>
        <w:t xml:space="preserve">. doi:</w:t>
      </w:r>
      <w:r>
        <w:t xml:space="preserve"> </w:t>
      </w:r>
      <w:hyperlink r:id="rId68">
        <w:r>
          <w:rPr>
            <w:rStyle w:val="InternetLink"/>
          </w:rPr>
          <w:t xml:space="preserve">10.1093/jisesa/ieaa018</w:t>
        </w:r>
      </w:hyperlink>
      <w:r>
        <w:t xml:space="preserve">.</w:t>
      </w:r>
    </w:p>
    <w:bookmarkEnd w:id="69"/>
    <w:bookmarkStart w:id="70" w:name="ref-barkerArgentineStemWeevil1993"/>
    <w:p>
      <w:pPr>
        <w:pStyle w:val="Bibliography"/>
      </w:pPr>
      <w:r>
        <w:t xml:space="preserve">6. Barker, G.; Addison, P.J. Argentine stem weevil populations and damage in ryegrass swards of contrasting Acremonium infection.; 1993.</w:t>
      </w:r>
    </w:p>
    <w:bookmarkEnd w:id="70"/>
    <w:bookmarkStart w:id="71" w:name="ref-prestidgeEconomicCostArgentine1991"/>
    <w:p>
      <w:pPr>
        <w:pStyle w:val="Bibliography"/>
      </w:pPr>
      <w:r>
        <w:t xml:space="preserve">7. Prestidge, R.; Barker, G.; Pottinger, R. The economic cost of Argentine stem weevil in pastures in New Zealand.; 1991; Vol. 44, pp. 165–170.</w:t>
      </w:r>
    </w:p>
    <w:bookmarkEnd w:id="71"/>
    <w:bookmarkStart w:id="73" w:name="ref-fergusonQuantifyingEconomicCost2019"/>
    <w:p>
      <w:pPr>
        <w:pStyle w:val="Bibliography"/>
      </w:pPr>
      <w:r>
        <w:t xml:space="preserve">8.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72">
        <w:r>
          <w:rPr>
            <w:rStyle w:val="InternetLink"/>
          </w:rPr>
          <w:t xml:space="preserve">10.1080/00288233.2018.1478860</w:t>
        </w:r>
      </w:hyperlink>
      <w:r>
        <w:t xml:space="preserve">.</w:t>
      </w:r>
    </w:p>
    <w:bookmarkEnd w:id="73"/>
    <w:bookmarkStart w:id="75"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pnzwpcc</w:t>
      </w:r>
      <w:r>
        <w:t xml:space="preserve"> </w:t>
      </w:r>
      <w:r>
        <w:rPr>
          <w:b/>
        </w:rPr>
        <w:t xml:space="preserve">1990</w:t>
      </w:r>
      <w:r>
        <w:t xml:space="preserve">,</w:t>
      </w:r>
      <w:r>
        <w:t xml:space="preserve"> </w:t>
      </w:r>
      <w:r>
        <w:rPr>
          <w:i/>
        </w:rPr>
        <w:t xml:space="preserve">43</w:t>
      </w:r>
      <w:r>
        <w:t xml:space="preserve">, 334–338. doi:</w:t>
      </w:r>
      <w:r>
        <w:t xml:space="preserve"> </w:t>
      </w:r>
      <w:hyperlink r:id="rId74">
        <w:r>
          <w:rPr>
            <w:rStyle w:val="InternetLink"/>
          </w:rPr>
          <w:t xml:space="preserve">10.30843/nzpp.1990.43.10904</w:t>
        </w:r>
      </w:hyperlink>
      <w:r>
        <w:t xml:space="preserve">.</w:t>
      </w:r>
    </w:p>
    <w:bookmarkEnd w:id="75"/>
    <w:bookmarkStart w:id="77"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6">
        <w:r>
          <w:rPr>
            <w:rStyle w:val="InternetLink"/>
          </w:rPr>
          <w:t xml:space="preserve">10.1201/9781420041668.ch12</w:t>
        </w:r>
      </w:hyperlink>
      <w:r>
        <w:t xml:space="preserve">.</w:t>
      </w:r>
    </w:p>
    <w:bookmarkEnd w:id="77"/>
    <w:bookmarkStart w:id="79"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8">
        <w:r>
          <w:rPr>
            <w:rStyle w:val="InternetLink"/>
          </w:rPr>
          <w:t xml:space="preserve">10.1007/s13225-013-0239-4</w:t>
        </w:r>
      </w:hyperlink>
      <w:r>
        <w:t xml:space="preserve">.</w:t>
      </w:r>
    </w:p>
    <w:bookmarkEnd w:id="79"/>
    <w:bookmarkStart w:id="81"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80">
        <w:r>
          <w:rPr>
            <w:rStyle w:val="InternetLink"/>
          </w:rPr>
          <w:t xml:space="preserve">10.1038/nplants.2015.224</w:t>
        </w:r>
      </w:hyperlink>
      <w:r>
        <w:t xml:space="preserve">.</w:t>
      </w:r>
    </w:p>
    <w:bookmarkEnd w:id="81"/>
    <w:bookmarkStart w:id="83" w:name="ref-barkerEarlyImpactEndoparasitoid2006"/>
    <w:p>
      <w:pPr>
        <w:pStyle w:val="Bibliography"/>
      </w:pPr>
      <w:r>
        <w:t xml:space="preserve">13. Barker, G.M.; Addison, P.J. Early Impact of Endoparasitoid</w:t>
      </w:r>
      <w:r>
        <w:t xml:space="preserve"> </w:t>
      </w:r>
      <w:r>
        <w:rPr>
          <w:i/>
        </w:rPr>
        <w:t xml:space="preserve">Microctonus hyperodae</w:t>
      </w:r>
      <w:r>
        <w:t xml:space="preserve"> </w:t>
      </w:r>
      <w:r>
        <w:t xml:space="preserve">(Hymenoptera: Braconidae) After Its Establishment in</w:t>
      </w:r>
      <w:r>
        <w:t xml:space="preserve"> </w:t>
      </w:r>
      <w:r>
        <w:rPr>
          <w:i/>
        </w:rPr>
        <w:t xml:space="preserve">Listronotus bonariensis</w:t>
      </w:r>
      <w:r>
        <w:t xml:space="preserve"> </w:t>
      </w:r>
      <w:r>
        <w:t xml:space="preserve">(Coleoptera: Curculionidae) Populations of Northern New Zealand Pastures.</w:t>
      </w:r>
      <w:r>
        <w:t xml:space="preserve"> </w:t>
      </w:r>
      <w:r>
        <w:rPr>
          <w:i/>
        </w:rPr>
        <w:t xml:space="preserve">J Econ Entomol</w:t>
      </w:r>
      <w:r>
        <w:t xml:space="preserve"> </w:t>
      </w:r>
      <w:r>
        <w:rPr>
          <w:b/>
        </w:rPr>
        <w:t xml:space="preserve">2006</w:t>
      </w:r>
      <w:r>
        <w:t xml:space="preserve">,</w:t>
      </w:r>
      <w:r>
        <w:t xml:space="preserve"> </w:t>
      </w:r>
      <w:r>
        <w:rPr>
          <w:i/>
        </w:rPr>
        <w:t xml:space="preserve">99</w:t>
      </w:r>
      <w:r>
        <w:t xml:space="preserve">, 273–287. doi:</w:t>
      </w:r>
      <w:r>
        <w:t xml:space="preserve"> </w:t>
      </w:r>
      <w:hyperlink r:id="rId82">
        <w:r>
          <w:rPr>
            <w:rStyle w:val="InternetLink"/>
          </w:rPr>
          <w:t xml:space="preserve">10.1093/jee/99.2.273</w:t>
        </w:r>
      </w:hyperlink>
      <w:r>
        <w:t xml:space="preserve">.</w:t>
      </w:r>
    </w:p>
    <w:bookmarkEnd w:id="83"/>
    <w:bookmarkStart w:id="85" w:name="ref-goldsonArgentineStemWeevil2011"/>
    <w:p>
      <w:pPr>
        <w:pStyle w:val="Bibliography"/>
      </w:pPr>
      <w:r>
        <w:t xml:space="preserve">14. Goldson, S.L.; Barron, M.C.; Kean, J.M.; van Koten, C. Argentine stem weevil (</w:t>
      </w:r>
      <w:r>
        <w:rPr>
          <w:i/>
        </w:rPr>
        <w:t xml:space="preserve">Listronotus 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4">
        <w:r>
          <w:rPr>
            <w:rStyle w:val="InternetLink"/>
          </w:rPr>
          <w:t xml:space="preserve">10.1017/S0007485310000507</w:t>
        </w:r>
      </w:hyperlink>
      <w:r>
        <w:t xml:space="preserve">.</w:t>
      </w:r>
    </w:p>
    <w:bookmarkEnd w:id="85"/>
    <w:bookmarkStart w:id="87" w:name="X427b9eb8babf0f6b4017f445287e497782beccb"/>
    <w:p>
      <w:pPr>
        <w:pStyle w:val="Bibliography"/>
      </w:pPr>
      <w:r>
        <w:t xml:space="preserve">15. Barker, G.M. Biology of the Introduced Biocontrol Agent</w:t>
      </w:r>
      <w:r>
        <w:t xml:space="preserve"> </w:t>
      </w:r>
      <w:r>
        <w:rPr>
          <w:i/>
        </w:rPr>
        <w:t xml:space="preserve">Microctonus hyperodae</w:t>
      </w:r>
      <w:r>
        <w:t xml:space="preserve"> </w:t>
      </w:r>
      <w:r>
        <w:t xml:space="preserve">(Hymenoptera: Braconidae) and Its Host</w:t>
      </w:r>
      <w:r>
        <w:t xml:space="preserve"> </w:t>
      </w:r>
      <w:r>
        <w:rPr>
          <w:i/>
        </w:rPr>
        <w:t xml:space="preserve">Listronotus bonariensis</w:t>
      </w:r>
      <w:r>
        <w:t xml:space="preserve"> </w:t>
      </w:r>
      <w:r>
        <w:t xml:space="preserve">(Coleoptera: Curculionidae) in Northern New Zealand.</w:t>
      </w:r>
      <w:r>
        <w:t xml:space="preserve"> </w:t>
      </w:r>
      <w:r>
        <w:rPr>
          <w:i/>
        </w:rPr>
        <w:t xml:space="preserve">Environ Entomol</w:t>
      </w:r>
      <w:r>
        <w:t xml:space="preserve"> </w:t>
      </w:r>
      <w:r>
        <w:rPr>
          <w:b/>
        </w:rPr>
        <w:t xml:space="preserve">2013</w:t>
      </w:r>
      <w:r>
        <w:t xml:space="preserve">,</w:t>
      </w:r>
      <w:r>
        <w:t xml:space="preserve"> </w:t>
      </w:r>
      <w:r>
        <w:rPr>
          <w:i/>
        </w:rPr>
        <w:t xml:space="preserve">42</w:t>
      </w:r>
      <w:r>
        <w:t xml:space="preserve">, 902–914. doi:</w:t>
      </w:r>
      <w:r>
        <w:t xml:space="preserve"> </w:t>
      </w:r>
      <w:hyperlink r:id="rId86">
        <w:r>
          <w:rPr>
            <w:rStyle w:val="InternetLink"/>
          </w:rPr>
          <w:t xml:space="preserve">10.1603/EN11248</w:t>
        </w:r>
      </w:hyperlink>
      <w:r>
        <w:t xml:space="preserve">.</w:t>
      </w:r>
    </w:p>
    <w:bookmarkEnd w:id="87"/>
    <w:bookmarkStart w:id="89" w:name="ref-popayCurrentStatusArgentine2011"/>
    <w:p>
      <w:pPr>
        <w:pStyle w:val="Bibliography"/>
      </w:pPr>
      <w:r>
        <w:t xml:space="preserve">16. Popay, A.J.; McNeill, M.R.; Goldson, S.L.; Ferguson, C.M. The current status of Argentine stem weevil (</w:t>
      </w:r>
      <w:r>
        <w:rPr>
          <w:i/>
        </w:rPr>
        <w:t xml:space="preserve">Listronotus 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8">
        <w:r>
          <w:rPr>
            <w:rStyle w:val="InternetLink"/>
          </w:rPr>
          <w:t xml:space="preserve">10.30843/nzpp.2011.64.5962</w:t>
        </w:r>
      </w:hyperlink>
      <w:r>
        <w:t xml:space="preserve">.</w:t>
      </w:r>
    </w:p>
    <w:bookmarkEnd w:id="89"/>
    <w:bookmarkStart w:id="91"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 Plant Sci.</w:t>
      </w:r>
      <w:r>
        <w:t xml:space="preserve"> </w:t>
      </w:r>
      <w:r>
        <w:rPr>
          <w:b/>
        </w:rPr>
        <w:t xml:space="preserve">2016</w:t>
      </w:r>
      <w:r>
        <w:t xml:space="preserve">,</w:t>
      </w:r>
      <w:r>
        <w:t xml:space="preserve"> </w:t>
      </w:r>
      <w:r>
        <w:rPr>
          <w:i/>
        </w:rPr>
        <w:t xml:space="preserve">7</w:t>
      </w:r>
      <w:r>
        <w:t xml:space="preserve">. doi:</w:t>
      </w:r>
      <w:r>
        <w:t xml:space="preserve"> </w:t>
      </w:r>
      <w:hyperlink r:id="rId90">
        <w:r>
          <w:rPr>
            <w:rStyle w:val="InternetLink"/>
          </w:rPr>
          <w:t xml:space="preserve">10.3389/fpls.2016.01259</w:t>
        </w:r>
      </w:hyperlink>
      <w:r>
        <w:t xml:space="preserve">.</w:t>
      </w:r>
    </w:p>
    <w:bookmarkEnd w:id="91"/>
    <w:bookmarkStart w:id="93"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PNAS</w:t>
      </w:r>
      <w:r>
        <w:t xml:space="preserve"> </w:t>
      </w:r>
      <w:r>
        <w:rPr>
          <w:b/>
        </w:rPr>
        <w:t xml:space="preserve">2017</w:t>
      </w:r>
      <w:r>
        <w:t xml:space="preserve">, 201618416. doi:</w:t>
      </w:r>
      <w:r>
        <w:t xml:space="preserve"> </w:t>
      </w:r>
      <w:hyperlink r:id="rId92">
        <w:r>
          <w:rPr>
            <w:rStyle w:val="InternetLink"/>
          </w:rPr>
          <w:t xml:space="preserve">10.1073/pnas.1618416114</w:t>
        </w:r>
      </w:hyperlink>
      <w:r>
        <w:t xml:space="preserve">.</w:t>
      </w:r>
    </w:p>
    <w:bookmarkEnd w:id="93"/>
    <w:bookmarkStart w:id="95"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4">
        <w:r>
          <w:rPr>
            <w:rStyle w:val="InternetLink"/>
          </w:rPr>
          <w:t xml:space="preserve">10.1371/journal.pone.0207610</w:t>
        </w:r>
      </w:hyperlink>
      <w:r>
        <w:t xml:space="preserve">.</w:t>
      </w:r>
    </w:p>
    <w:bookmarkEnd w:id="95"/>
    <w:bookmarkStart w:id="97"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6">
        <w:r>
          <w:rPr>
            <w:rStyle w:val="InternetLink"/>
          </w:rPr>
          <w:t xml:space="preserve">10.1126/science.356.6338.570</w:t>
        </w:r>
      </w:hyperlink>
      <w:r>
        <w:t xml:space="preserve">.</w:t>
      </w:r>
    </w:p>
    <w:bookmarkEnd w:id="97"/>
    <w:bookmarkStart w:id="99"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 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8">
        <w:r>
          <w:rPr>
            <w:rStyle w:val="InternetLink"/>
          </w:rPr>
          <w:t xml:space="preserve">10.1038/hdy.1994.57</w:t>
        </w:r>
      </w:hyperlink>
      <w:r>
        <w:t xml:space="preserve">.</w:t>
      </w:r>
    </w:p>
    <w:bookmarkEnd w:id="99"/>
    <w:bookmarkStart w:id="101" w:name="ref-vinkPCRGutAnalysis2013"/>
    <w:p>
      <w:pPr>
        <w:pStyle w:val="Bibliography"/>
      </w:pPr>
      <w:r>
        <w:t xml:space="preserve">22. Vink, C.J.; Kean, J.M. PCR gut analysis reveals that</w:t>
      </w:r>
      <w:r>
        <w:t xml:space="preserve"> </w:t>
      </w:r>
      <w:r>
        <w:rPr>
          <w:i/>
        </w:rPr>
        <w:t xml:space="preserve">Tenuiphantes tenuis</w:t>
      </w:r>
      <w:r>
        <w:t xml:space="preserve"> </w:t>
      </w:r>
      <w:r>
        <w:t xml:space="preserve">(Araneae: Linyphiidae) is a potentially significant predator of Argentine stem weevil,</w:t>
      </w:r>
      <w:r>
        <w:t xml:space="preserve"> </w:t>
      </w:r>
      <w:r>
        <w:rPr>
          <w:i/>
        </w:rPr>
        <w:t xml:space="preserve">Listronotus 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 Retrieved from</w:t>
      </w:r>
      <w:r>
        <w:t xml:space="preserve"> </w:t>
      </w:r>
      <w:hyperlink r:id="rId100">
        <w:r>
          <w:rPr>
            <w:rStyle w:val="InternetLink"/>
          </w:rPr>
          <w:t xml:space="preserve">https://www.tandfonline.com/doi/abs/10.1080/03014223.2013.794847</w:t>
        </w:r>
      </w:hyperlink>
      <w:r>
        <w:t xml:space="preserve">.</w:t>
      </w:r>
    </w:p>
    <w:bookmarkEnd w:id="101"/>
    <w:bookmarkStart w:id="103"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102">
        <w:r>
          <w:rPr>
            <w:rStyle w:val="InternetLink"/>
          </w:rPr>
          <w:t xml:space="preserve">10.32614/RJ-2013-014</w:t>
        </w:r>
      </w:hyperlink>
      <w:r>
        <w:t xml:space="preserve">.</w:t>
      </w:r>
    </w:p>
    <w:bookmarkEnd w:id="103"/>
    <w:bookmarkStart w:id="105" w:name="X2e38d12a8f7821f44af6e96d6fadc0444c0e855"/>
    <w:p>
      <w:pPr>
        <w:pStyle w:val="Bibliography"/>
      </w:pPr>
      <w:r>
        <w:t xml:space="preserve">24. Goldson, S.L.; Emberson, R.M. Reproductive morphology of the Argentine stem weevil,</w:t>
      </w:r>
      <w:r>
        <w:t xml:space="preserve"> </w:t>
      </w:r>
      <w:r>
        <w:rPr>
          <w:i/>
        </w:rPr>
        <w:t xml:space="preserve">Hyperodes 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4">
        <w:r>
          <w:rPr>
            <w:rStyle w:val="InternetLink"/>
          </w:rPr>
          <w:t xml:space="preserve">10.1080/03014223.1981.10427942</w:t>
        </w:r>
      </w:hyperlink>
      <w:r>
        <w:t xml:space="preserve">.</w:t>
      </w:r>
    </w:p>
    <w:bookmarkEnd w:id="105"/>
    <w:bookmarkStart w:id="107"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 Retrieved from Lawrence Berkeley National Lab. (LBNL), Berkeley, CA (United States) website:</w:t>
      </w:r>
      <w:r>
        <w:t xml:space="preserve"> </w:t>
      </w:r>
      <w:hyperlink r:id="rId106">
        <w:r>
          <w:rPr>
            <w:rStyle w:val="InternetLink"/>
          </w:rPr>
          <w:t xml:space="preserve">https://www.osti.gov/biblio/1241166-bbmap-fast-accurate-splice-aware-aligner</w:t>
        </w:r>
      </w:hyperlink>
      <w:r>
        <w:t xml:space="preserve">.</w:t>
      </w:r>
    </w:p>
    <w:bookmarkEnd w:id="107"/>
    <w:bookmarkStart w:id="109"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8">
        <w:r>
          <w:rPr>
            <w:rStyle w:val="InternetLink"/>
          </w:rPr>
          <w:t xml:space="preserve">10.1371/journal.pone.0023501</w:t>
        </w:r>
      </w:hyperlink>
      <w:r>
        <w:t xml:space="preserve">.</w:t>
      </w:r>
    </w:p>
    <w:bookmarkEnd w:id="109"/>
    <w:bookmarkStart w:id="111"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10">
        <w:r>
          <w:rPr>
            <w:rStyle w:val="InternetLink"/>
          </w:rPr>
          <w:t xml:space="preserve">http://arxiv.org/abs/1608.01031</w:t>
        </w:r>
      </w:hyperlink>
      <w:r>
        <w:t xml:space="preserve">.</w:t>
      </w:r>
    </w:p>
    <w:bookmarkEnd w:id="111"/>
    <w:bookmarkStart w:id="113"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12">
        <w:r>
          <w:rPr>
            <w:rStyle w:val="InternetLink"/>
          </w:rPr>
          <w:t xml:space="preserve">http://arxiv.org/abs/1703.09852</w:t>
        </w:r>
      </w:hyperlink>
      <w:r>
        <w:t xml:space="preserve">.</w:t>
      </w:r>
    </w:p>
    <w:bookmarkEnd w:id="113"/>
    <w:bookmarkStart w:id="115"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14">
        <w:r>
          <w:rPr>
            <w:rStyle w:val="InternetLink"/>
          </w:rPr>
          <w:t xml:space="preserve">10.17504/protocols.io.pnwdmfe</w:t>
        </w:r>
      </w:hyperlink>
      <w:r>
        <w:t xml:space="preserve">.</w:t>
      </w:r>
    </w:p>
    <w:bookmarkEnd w:id="115"/>
    <w:bookmarkStart w:id="117"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6">
        <w:r>
          <w:rPr>
            <w:rStyle w:val="InternetLink"/>
          </w:rPr>
          <w:t xml:space="preserve">10.1038/s41587-019-0072-8</w:t>
        </w:r>
      </w:hyperlink>
      <w:r>
        <w:t xml:space="preserve">.</w:t>
      </w:r>
    </w:p>
    <w:bookmarkEnd w:id="117"/>
    <w:bookmarkStart w:id="119"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8">
        <w:r>
          <w:rPr>
            <w:rStyle w:val="InternetLink"/>
          </w:rPr>
          <w:t xml:space="preserve">10.1093/bioinformatics/btv351</w:t>
        </w:r>
      </w:hyperlink>
      <w:r>
        <w:t xml:space="preserve">.</w:t>
      </w:r>
    </w:p>
    <w:bookmarkEnd w:id="119"/>
    <w:bookmarkStart w:id="121"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20">
        <w:r>
          <w:rPr>
            <w:rStyle w:val="InternetLink"/>
          </w:rPr>
          <w:t xml:space="preserve">10.1186/s12859-018-2485-7</w:t>
        </w:r>
      </w:hyperlink>
      <w:r>
        <w:t xml:space="preserve">.</w:t>
      </w:r>
    </w:p>
    <w:bookmarkEnd w:id="121"/>
    <w:bookmarkStart w:id="123" w:name="ref-smitRepeatModelerOpen12015"/>
    <w:p>
      <w:pPr>
        <w:pStyle w:val="Bibliography"/>
      </w:pPr>
      <w:r>
        <w:t xml:space="preserve">33. Smit, A.F.A.; Hubley, R.</w:t>
      </w:r>
      <w:r>
        <w:t xml:space="preserve"> </w:t>
      </w:r>
      <w:r>
        <w:rPr>
          <w:i/>
        </w:rPr>
        <w:t xml:space="preserve">RepeatModeler Open-1.0</w:t>
      </w:r>
      <w:r>
        <w:t xml:space="preserve">; 2015; Retrieved from</w:t>
      </w:r>
      <w:r>
        <w:t xml:space="preserve"> </w:t>
      </w:r>
      <w:hyperlink r:id="rId122">
        <w:r>
          <w:rPr>
            <w:rStyle w:val="InternetLink"/>
          </w:rPr>
          <w:t xml:space="preserve">http://www.repeatmasker.org</w:t>
        </w:r>
      </w:hyperlink>
      <w:r>
        <w:t xml:space="preserve">.</w:t>
      </w:r>
    </w:p>
    <w:bookmarkEnd w:id="123"/>
    <w:bookmarkStart w:id="125" w:name="X73dc34f083a19d3b348e971048f341b1bdb786e"/>
    <w:p>
      <w:pPr>
        <w:pStyle w:val="Bibliography"/>
      </w:pPr>
      <w:r>
        <w:t xml:space="preserve">34. Jon Love; Jon Palmer; Jason Stajich; Tyler Esser; Erik Kastman; Daniel Bogema; David Winter</w:t>
      </w:r>
      <w:r>
        <w:t xml:space="preserve"> </w:t>
      </w:r>
      <w:r>
        <w:rPr>
          <w:i/>
        </w:rPr>
        <w:t xml:space="preserve">nextgenusfs/funannotate: funannotate v1.7.4</w:t>
      </w:r>
      <w:r>
        <w:t xml:space="preserve">; Zenodo, 2020; doi:</w:t>
      </w:r>
      <w:r>
        <w:t xml:space="preserve"> </w:t>
      </w:r>
      <w:hyperlink r:id="rId124">
        <w:r>
          <w:rPr>
            <w:rStyle w:val="InternetLink"/>
          </w:rPr>
          <w:t xml:space="preserve">10.5281/zenodo.3679386</w:t>
        </w:r>
      </w:hyperlink>
      <w:r>
        <w:t xml:space="preserve">.</w:t>
      </w:r>
    </w:p>
    <w:bookmarkEnd w:id="125"/>
    <w:bookmarkStart w:id="126" w:name="ref-smitRepeatMaskerOpen42015"/>
    <w:p>
      <w:pPr>
        <w:pStyle w:val="Bibliography"/>
      </w:pPr>
      <w:r>
        <w:t xml:space="preserve">35. Smit, A.F.A.; Hubley, R.; Green, P.</w:t>
      </w:r>
      <w:r>
        <w:t xml:space="preserve"> </w:t>
      </w:r>
      <w:r>
        <w:rPr>
          <w:i/>
        </w:rPr>
        <w:t xml:space="preserve">RepeatMasker Open-4.0.</w:t>
      </w:r>
      <w:r>
        <w:t xml:space="preserve">; 2015; Retrieved from</w:t>
      </w:r>
      <w:r>
        <w:t xml:space="preserve"> </w:t>
      </w:r>
      <w:hyperlink r:id="rId122">
        <w:r>
          <w:rPr>
            <w:rStyle w:val="InternetLink"/>
          </w:rPr>
          <w:t xml:space="preserve">http://www.repeatmasker.org</w:t>
        </w:r>
      </w:hyperlink>
      <w:r>
        <w:t xml:space="preserve">.</w:t>
      </w:r>
    </w:p>
    <w:bookmarkEnd w:id="126"/>
    <w:bookmarkStart w:id="128" w:name="ref-petersonDoubleDigestRADseq2012"/>
    <w:p>
      <w:pPr>
        <w:pStyle w:val="Bibliography"/>
      </w:pPr>
      <w:r>
        <w:t xml:space="preserve">36. Peterson, B.K.; Weber, J.N.; Kay, E.H.; Fisher, H.S.; Hoekstra, H.E. Double Digest RADseq: An Inexpensive Method for De Novo SNP Discovery and Genotyping in Model and Non-Model Species.</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doi:</w:t>
      </w:r>
      <w:r>
        <w:t xml:space="preserve"> </w:t>
      </w:r>
      <w:hyperlink r:id="rId127">
        <w:r>
          <w:rPr>
            <w:rStyle w:val="InternetLink"/>
          </w:rPr>
          <w:t xml:space="preserve">10.1371/journal.pone.0037135</w:t>
        </w:r>
      </w:hyperlink>
      <w:r>
        <w:t xml:space="preserve">.</w:t>
      </w:r>
    </w:p>
    <w:bookmarkEnd w:id="128"/>
    <w:bookmarkStart w:id="130" w:name="X7e5d3b19ecae1eb3c11e14192d9ddf88629ea2e"/>
    <w:p>
      <w:pPr>
        <w:pStyle w:val="Bibliography"/>
      </w:pPr>
      <w:r>
        <w:t xml:space="preserve">37.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9">
        <w:r>
          <w:rPr>
            <w:rStyle w:val="InternetLink"/>
          </w:rPr>
          <w:t xml:space="preserve">10.1371/journal.pone.0019379</w:t>
        </w:r>
      </w:hyperlink>
      <w:r>
        <w:t xml:space="preserve">.</w:t>
      </w:r>
    </w:p>
    <w:bookmarkEnd w:id="130"/>
    <w:bookmarkStart w:id="132" w:name="Xfbd0c67c15d346e617f4ca50602329f9f0e598a"/>
    <w:p>
      <w:pPr>
        <w:pStyle w:val="Bibliography"/>
      </w:pPr>
      <w:r>
        <w:t xml:space="preserve">38. Dodds, K.G.; McEwan, J.C.; Brauning, R.; Anderson, R.M.; van Stijn, T.C.; Kristjánsson, T.; Clarke, S.M. Construction of relatedness matrices using genotyping-by-sequencing data.</w:t>
      </w:r>
      <w:r>
        <w:t xml:space="preserve"> </w:t>
      </w:r>
      <w:r>
        <w:rPr>
          <w:i/>
        </w:rPr>
        <w:t xml:space="preserve">BMC Genomics</w:t>
      </w:r>
      <w:r>
        <w:t xml:space="preserve"> </w:t>
      </w:r>
      <w:r>
        <w:rPr>
          <w:b/>
        </w:rPr>
        <w:t xml:space="preserve">2015</w:t>
      </w:r>
      <w:r>
        <w:t xml:space="preserve">,</w:t>
      </w:r>
      <w:r>
        <w:t xml:space="preserve"> </w:t>
      </w:r>
      <w:r>
        <w:rPr>
          <w:i/>
        </w:rPr>
        <w:t xml:space="preserve">16</w:t>
      </w:r>
      <w:r>
        <w:t xml:space="preserve">, 1047. doi:</w:t>
      </w:r>
      <w:r>
        <w:t xml:space="preserve"> </w:t>
      </w:r>
      <w:hyperlink r:id="rId131">
        <w:r>
          <w:rPr>
            <w:rStyle w:val="InternetLink"/>
          </w:rPr>
          <w:t xml:space="preserve">10.1186/s12864-015-2252-3</w:t>
        </w:r>
      </w:hyperlink>
      <w:r>
        <w:t xml:space="preserve">.</w:t>
      </w:r>
    </w:p>
    <w:bookmarkEnd w:id="132"/>
    <w:bookmarkStart w:id="134" w:name="ref-catchenStacksAnalysisTool2013"/>
    <w:p>
      <w:pPr>
        <w:pStyle w:val="Bibliography"/>
      </w:pPr>
      <w:r>
        <w:t xml:space="preserve">39. Catchen, J.; Hohenlohe, P.A.; Bassham, S.; Amores, A.; Cresko, W.A. Stacks: an analysis tool set for population genomics.</w:t>
      </w:r>
      <w:r>
        <w:t xml:space="preserve"> </w:t>
      </w:r>
      <w:r>
        <w:rPr>
          <w:i/>
        </w:rPr>
        <w:t xml:space="preserve">Mol Ecol</w:t>
      </w:r>
      <w:r>
        <w:t xml:space="preserve"> </w:t>
      </w:r>
      <w:r>
        <w:rPr>
          <w:b/>
        </w:rPr>
        <w:t xml:space="preserve">2013</w:t>
      </w:r>
      <w:r>
        <w:t xml:space="preserve">,</w:t>
      </w:r>
      <w:r>
        <w:t xml:space="preserve"> </w:t>
      </w:r>
      <w:r>
        <w:rPr>
          <w:i/>
        </w:rPr>
        <w:t xml:space="preserve">22</w:t>
      </w:r>
      <w:r>
        <w:t xml:space="preserve">, 3124–3140. doi:</w:t>
      </w:r>
      <w:r>
        <w:t xml:space="preserve"> </w:t>
      </w:r>
      <w:hyperlink r:id="rId133">
        <w:r>
          <w:rPr>
            <w:rStyle w:val="InternetLink"/>
          </w:rPr>
          <w:t xml:space="preserve">10.1111/mec.12354</w:t>
        </w:r>
      </w:hyperlink>
      <w:r>
        <w:t xml:space="preserve">.</w:t>
      </w:r>
    </w:p>
    <w:bookmarkEnd w:id="134"/>
    <w:bookmarkStart w:id="136" w:name="ref-changSecondgenerationPLINKRising2015"/>
    <w:p>
      <w:pPr>
        <w:pStyle w:val="Bibliography"/>
      </w:pPr>
      <w:r>
        <w:t xml:space="preserve">40.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35">
        <w:r>
          <w:rPr>
            <w:rStyle w:val="InternetLink"/>
          </w:rPr>
          <w:t xml:space="preserve">10.1186/s13742-015-0047-8</w:t>
        </w:r>
      </w:hyperlink>
      <w:r>
        <w:t xml:space="preserve">.</w:t>
      </w:r>
    </w:p>
    <w:bookmarkEnd w:id="136"/>
    <w:bookmarkStart w:id="138" w:name="Xf16f5f4cbf3509fd4e35538a6319338d9577d4b"/>
    <w:p>
      <w:pPr>
        <w:pStyle w:val="Bibliography"/>
      </w:pPr>
      <w:r>
        <w:t xml:space="preserve">41.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37">
        <w:r>
          <w:rPr>
            <w:rStyle w:val="InternetLink"/>
          </w:rPr>
          <w:t xml:space="preserve">10.1186/1471-2156-11-94</w:t>
        </w:r>
      </w:hyperlink>
      <w:r>
        <w:t xml:space="preserve">.</w:t>
      </w:r>
    </w:p>
    <w:bookmarkEnd w:id="138"/>
    <w:bookmarkStart w:id="140" w:name="X944291a5f5944668f7560c568ae824042b83be9"/>
    <w:p>
      <w:pPr>
        <w:pStyle w:val="Bibliography"/>
      </w:pPr>
      <w:r>
        <w:t xml:space="preserve">42. R Core Team R: A Language and Environment for Statistical Computing.</w:t>
      </w:r>
      <w:r>
        <w:t xml:space="preserve"> </w:t>
      </w:r>
      <w:r>
        <w:rPr>
          <w:b/>
        </w:rPr>
        <w:t xml:space="preserve">2015</w:t>
      </w:r>
      <w:r>
        <w:t xml:space="preserve">. Retrieved from</w:t>
      </w:r>
      <w:r>
        <w:t xml:space="preserve"> </w:t>
      </w:r>
      <w:hyperlink r:id="rId139">
        <w:r>
          <w:rPr>
            <w:rStyle w:val="InternetLink"/>
          </w:rPr>
          <w:t xml:space="preserve">http://www.R-project.org/</w:t>
        </w:r>
      </w:hyperlink>
      <w:r>
        <w:t xml:space="preserve">.</w:t>
      </w:r>
    </w:p>
    <w:bookmarkEnd w:id="140"/>
    <w:bookmarkStart w:id="142" w:name="ref-lischerPGDSpiderAutomatedData2012"/>
    <w:p>
      <w:pPr>
        <w:pStyle w:val="Bibliography"/>
      </w:pPr>
      <w:r>
        <w:t xml:space="preserve">43.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41">
        <w:r>
          <w:rPr>
            <w:rStyle w:val="InternetLink"/>
          </w:rPr>
          <w:t xml:space="preserve">10.1093/bioinformatics/btr642</w:t>
        </w:r>
      </w:hyperlink>
      <w:r>
        <w:t xml:space="preserve">.</w:t>
      </w:r>
    </w:p>
    <w:bookmarkEnd w:id="142"/>
    <w:bookmarkStart w:id="144" w:name="ref-follGenomeScanMethodIdentify2008"/>
    <w:p>
      <w:pPr>
        <w:pStyle w:val="Bibliography"/>
      </w:pPr>
      <w:r>
        <w:t xml:space="preserve">44.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43">
        <w:r>
          <w:rPr>
            <w:rStyle w:val="InternetLink"/>
          </w:rPr>
          <w:t xml:space="preserve">10.1534/genetics.108.092221</w:t>
        </w:r>
      </w:hyperlink>
      <w:r>
        <w:t xml:space="preserve">.</w:t>
      </w:r>
    </w:p>
    <w:bookmarkEnd w:id="144"/>
    <w:bookmarkStart w:id="146" w:name="X558db7f706eb8c58d07748d989cb3b57ad63663"/>
    <w:p>
      <w:pPr>
        <w:pStyle w:val="Bibliography"/>
      </w:pPr>
      <w:r>
        <w:t xml:space="preserve">45.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45">
        <w:r>
          <w:rPr>
            <w:rStyle w:val="InternetLink"/>
          </w:rPr>
          <w:t xml:space="preserve">10.1111/1755-0998.12634</w:t>
        </w:r>
      </w:hyperlink>
      <w:r>
        <w:t xml:space="preserve">.</w:t>
      </w:r>
    </w:p>
    <w:bookmarkEnd w:id="146"/>
    <w:bookmarkStart w:id="148" w:name="X1181bd8a553d276a10477cca76492dcf5bcc67e"/>
    <w:p>
      <w:pPr>
        <w:pStyle w:val="Bibliography"/>
      </w:pPr>
      <w:r>
        <w:t xml:space="preserve">46.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47">
        <w:r>
          <w:rPr>
            <w:rStyle w:val="InternetLink"/>
          </w:rPr>
          <w:t xml:space="preserve">10.1371/journal.pgen.1003905</w:t>
        </w:r>
      </w:hyperlink>
      <w:r>
        <w:t xml:space="preserve">.</w:t>
      </w:r>
    </w:p>
    <w:bookmarkEnd w:id="148"/>
    <w:bookmarkStart w:id="150" w:name="ref-akaikeNewLookStatistical1974"/>
    <w:p>
      <w:pPr>
        <w:pStyle w:val="Bibliography"/>
      </w:pPr>
      <w:r>
        <w:t xml:space="preserve">47. Akaike, H. A new look at the statistical model identification.</w:t>
      </w:r>
      <w:r>
        <w:t xml:space="preserve"> </w:t>
      </w:r>
      <w:r>
        <w:rPr>
          <w:i/>
        </w:rPr>
        <w:t xml:space="preserve">IEEE Transactions on Automatic Control</w:t>
      </w:r>
      <w:r>
        <w:t xml:space="preserve"> </w:t>
      </w:r>
      <w:r>
        <w:rPr>
          <w:b/>
        </w:rPr>
        <w:t xml:space="preserve">1974</w:t>
      </w:r>
      <w:r>
        <w:t xml:space="preserve">,</w:t>
      </w:r>
      <w:r>
        <w:t xml:space="preserve"> </w:t>
      </w:r>
      <w:r>
        <w:rPr>
          <w:i/>
        </w:rPr>
        <w:t xml:space="preserve">19</w:t>
      </w:r>
      <w:r>
        <w:t xml:space="preserve">, 716–723. doi:</w:t>
      </w:r>
      <w:r>
        <w:t xml:space="preserve"> </w:t>
      </w:r>
      <w:hyperlink r:id="rId149">
        <w:r>
          <w:rPr>
            <w:rStyle w:val="InternetLink"/>
          </w:rPr>
          <w:t xml:space="preserve">10.1109/TAC.1974.1100705</w:t>
        </w:r>
      </w:hyperlink>
      <w:r>
        <w:t xml:space="preserve">.</w:t>
      </w:r>
    </w:p>
    <w:bookmarkEnd w:id="150"/>
    <w:bookmarkStart w:id="152" w:name="X2e700f92c6894ae11db64f79d26700cf6bc7cef"/>
    <w:p>
      <w:pPr>
        <w:pStyle w:val="Bibliography"/>
      </w:pPr>
      <w:r>
        <w:t xml:space="preserve">48.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51">
        <w:r>
          <w:rPr>
            <w:rStyle w:val="InternetLink"/>
          </w:rPr>
          <w:t xml:space="preserve">10.1093/bioinformatics/bts480</w:t>
        </w:r>
      </w:hyperlink>
      <w:r>
        <w:t xml:space="preserve">.</w:t>
      </w:r>
    </w:p>
    <w:bookmarkEnd w:id="152"/>
    <w:bookmarkStart w:id="154" w:name="X86f5b1c0410ab16c725f5c26d810badc87f678c"/>
    <w:p>
      <w:pPr>
        <w:pStyle w:val="Bibliography"/>
      </w:pPr>
      <w:r>
        <w:t xml:space="preserve">49.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53">
        <w:r>
          <w:rPr>
            <w:rStyle w:val="InternetLink"/>
          </w:rPr>
          <w:t xml:space="preserve">10.1371/journal.pone.0177459</w:t>
        </w:r>
      </w:hyperlink>
      <w:r>
        <w:t xml:space="preserve">.</w:t>
      </w:r>
    </w:p>
    <w:bookmarkEnd w:id="154"/>
    <w:bookmarkStart w:id="156" w:name="X259490a536993ee18fe42d2f01f35b49a29d243"/>
    <w:p>
      <w:pPr>
        <w:pStyle w:val="Bibliography"/>
      </w:pPr>
      <w:r>
        <w:t xml:space="preserve">50.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55">
        <w:r>
          <w:rPr>
            <w:rStyle w:val="InternetLink"/>
          </w:rPr>
          <w:t xml:space="preserve">10.1038/nature06250</w:t>
        </w:r>
      </w:hyperlink>
      <w:r>
        <w:t xml:space="preserve">.</w:t>
      </w:r>
    </w:p>
    <w:bookmarkEnd w:id="156"/>
    <w:bookmarkStart w:id="158" w:name="ref-gautierRehhPackageDetect2012"/>
    <w:p>
      <w:pPr>
        <w:pStyle w:val="Bibliography"/>
      </w:pPr>
      <w:r>
        <w:t xml:space="preserve">51.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57">
        <w:r>
          <w:rPr>
            <w:rStyle w:val="InternetLink"/>
          </w:rPr>
          <w:t xml:space="preserve">10.1093/bioinformatics/bts115</w:t>
        </w:r>
      </w:hyperlink>
      <w:r>
        <w:t xml:space="preserve">.</w:t>
      </w:r>
    </w:p>
    <w:bookmarkEnd w:id="158"/>
    <w:bookmarkStart w:id="160" w:name="ref-brookingSilencesGrassRetrieving2007"/>
    <w:p>
      <w:pPr>
        <w:pStyle w:val="Bibliography"/>
      </w:pPr>
      <w:r>
        <w:t xml:space="preserve">52.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59">
        <w:r>
          <w:rPr>
            <w:rStyle w:val="InternetLink"/>
          </w:rPr>
          <w:t xml:space="preserve">10.1080/03086530701523406</w:t>
        </w:r>
      </w:hyperlink>
      <w:r>
        <w:t xml:space="preserve">.</w:t>
      </w:r>
    </w:p>
    <w:bookmarkEnd w:id="160"/>
    <w:bookmarkStart w:id="162" w:name="X9fa862798d3749e81f2326cd887be723121f572"/>
    <w:p>
      <w:pPr>
        <w:pStyle w:val="Bibliography"/>
      </w:pPr>
      <w:r>
        <w:t xml:space="preserve">53.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61">
        <w:r>
          <w:rPr>
            <w:rStyle w:val="InternetLink"/>
          </w:rPr>
          <w:t xml:space="preserve">10.1016/0169-5347(94)90079-5</w:t>
        </w:r>
      </w:hyperlink>
      <w:r>
        <w:t xml:space="preserve">.</w:t>
      </w:r>
    </w:p>
    <w:bookmarkEnd w:id="162"/>
    <w:bookmarkStart w:id="164" w:name="ref-greenCisTransactingVariants2019"/>
    <w:p>
      <w:pPr>
        <w:pStyle w:val="Bibliography"/>
      </w:pPr>
      <w:r>
        <w:t xml:space="preserve">54.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 melanogaster</w:t>
      </w:r>
      <w:r>
        <w:t xml:space="preserve"> </w:t>
      </w:r>
      <w:r>
        <w:t xml:space="preserve">population exposed to ryanoid insecticides.</w:t>
      </w:r>
      <w:r>
        <w:t xml:space="preserve"> </w:t>
      </w:r>
      <w:r>
        <w:rPr>
          <w:i/>
        </w:rPr>
        <w:t xml:space="preserve">PNAS</w:t>
      </w:r>
      <w:r>
        <w:t xml:space="preserve"> </w:t>
      </w:r>
      <w:r>
        <w:rPr>
          <w:b/>
        </w:rPr>
        <w:t xml:space="preserve">2019</w:t>
      </w:r>
      <w:r>
        <w:t xml:space="preserve">, 201821713. doi:</w:t>
      </w:r>
      <w:r>
        <w:t xml:space="preserve"> </w:t>
      </w:r>
      <w:hyperlink r:id="rId163">
        <w:r>
          <w:rPr>
            <w:rStyle w:val="InternetLink"/>
          </w:rPr>
          <w:t xml:space="preserve">10.1073/pnas.1821713116</w:t>
        </w:r>
      </w:hyperlink>
      <w:r>
        <w:t xml:space="preserve">.</w:t>
      </w:r>
    </w:p>
    <w:bookmarkEnd w:id="164"/>
    <w:bookmarkStart w:id="166" w:name="ref-vegaDraftGenomeMost2015"/>
    <w:p>
      <w:pPr>
        <w:pStyle w:val="Bibliography"/>
      </w:pPr>
      <w:r>
        <w:t xml:space="preserve">55. Vega, F.E.; Brown, S.M.; Chen, H.; Shen, E.; Nair, M.B.; Ceja-Navarro, J.A.; Brodie, E.L.; Infante, F.; Dowd, P.F.; Pain, A. Draft genome of the most devastating insect pest of coffee worldwide: the coffee berry borer,</w:t>
      </w:r>
      <w:r>
        <w:t xml:space="preserve"> </w:t>
      </w:r>
      <w:r>
        <w:rPr>
          <w:i/>
        </w:rPr>
        <w:t xml:space="preserve">Hypothenemus 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65">
        <w:r>
          <w:rPr>
            <w:rStyle w:val="InternetLink"/>
          </w:rPr>
          <w:t xml:space="preserve">10.1038/srep12525</w:t>
        </w:r>
      </w:hyperlink>
      <w:r>
        <w:t xml:space="preserve">.</w:t>
      </w:r>
    </w:p>
    <w:bookmarkEnd w:id="166"/>
    <w:bookmarkStart w:id="168" w:name="ref-keelingDraftGenomeMountain2013"/>
    <w:p>
      <w:pPr>
        <w:pStyle w:val="Bibliography"/>
      </w:pPr>
      <w:r>
        <w:t xml:space="preserve">56. Keeling, C.I.; Yuen, M.M.; Liao, N.Y.; Roderick Docking, T.; Chan, S.K.; Taylor, G.A.; Palmquist, D.L.; Jackman, S.D.; Nguyen, A.; Li, M. et al. Draft genome of the mountain pine beetle,</w:t>
      </w:r>
      <w:r>
        <w:t xml:space="preserve"> </w:t>
      </w:r>
      <w:r>
        <w:rPr>
          <w:i/>
        </w:rPr>
        <w:t xml:space="preserve">Dendroctonus 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67">
        <w:r>
          <w:rPr>
            <w:rStyle w:val="InternetLink"/>
          </w:rPr>
          <w:t xml:space="preserve">10.1186/gb-2013-14-3-r27</w:t>
        </w:r>
      </w:hyperlink>
      <w:r>
        <w:t xml:space="preserve">.</w:t>
      </w:r>
    </w:p>
    <w:bookmarkEnd w:id="168"/>
    <w:bookmarkEnd w:id="169"/>
    <w:p>
      <w:pPr>
        <w:pStyle w:val="Heading2"/>
      </w:pPr>
      <w:bookmarkStart w:id="170" w:name="supplementary-information"/>
      <w:r>
        <w:t xml:space="preserve">Supplementary information</w:t>
      </w:r>
      <w:bookmarkEnd w:id="170"/>
    </w:p>
    <w:p>
      <w:pPr>
        <w:pStyle w:val="CaptionedFigure"/>
      </w:pPr>
      <w:r>
        <w:drawing>
          <wp:inline>
            <wp:extent cx="5943600" cy="4077729"/>
            <wp:effectExtent b="0" l="0" r="0" t="0"/>
            <wp:docPr descr="Supplementary Figure 1. k-mer analysis of the short read sequencing dataset at k=31. A k-mer distribution in the short read dataset before and after normalisation. The peak at 84–216× coverage (highlighted in green) suggests a diploid genome with a haploid size of 967 Mb. The haploid peak (22–56× coverage) indicates a high number of polymorphic sites in the single, male individual used to generate this dataset. BBTools [25] estimated 2.1 polymorphisms per 100 bp in this dataset. B Cumulative percentage of all k-mers vs. frequency. 72% of all k-mers are at 216× or less coverage, indicating that the remaining 28% of k-mers are repetitive. The earlier inflexion point at 48% suggests that k-mers in the region from 48–72% may also be from repetitive regions." title="" id="1" name="Picture"/>
            <a:graphic>
              <a:graphicData uri="http://schemas.openxmlformats.org/drawingml/2006/picture">
                <pic:pic>
                  <pic:nvPicPr>
                    <pic:cNvPr descr="fig/supplementary_figure_1.pdf" id="0" name="Picture"/>
                    <pic:cNvPicPr>
                      <a:picLocks noChangeArrowheads="1" noChangeAspect="1"/>
                    </pic:cNvPicPr>
                  </pic:nvPicPr>
                  <pic:blipFill>
                    <a:blip r:embed="rId171"/>
                    <a:stretch>
                      <a:fillRect/>
                    </a:stretch>
                  </pic:blipFill>
                  <pic:spPr bwMode="auto">
                    <a:xfrm>
                      <a:off x="0" y="0"/>
                      <a:ext cx="5943600" cy="4077729"/>
                    </a:xfrm>
                    <a:prstGeom prst="rect">
                      <a:avLst/>
                    </a:prstGeom>
                    <a:noFill/>
                    <a:ln w="9525">
                      <a:noFill/>
                      <a:headEnd/>
                      <a:tailEnd/>
                    </a:ln>
                  </pic:spPr>
                </pic:pic>
              </a:graphicData>
            </a:graphic>
          </wp:inline>
        </w:drawing>
      </w:r>
    </w:p>
    <w:p>
      <w:pPr>
        <w:pStyle w:val="ImageCaption"/>
      </w:pPr>
      <w:r>
        <w:rPr>
          <w:b/>
        </w:rPr>
        <w:t xml:space="preserve">Supplementary Figure 1</w:t>
      </w:r>
      <w:r>
        <w:t xml:space="preserve">.</w:t>
      </w:r>
      <w:r>
        <w:t xml:space="preserve"> </w:t>
      </w:r>
      <w:r>
        <w:rPr>
          <w:i/>
        </w:rPr>
        <w:t xml:space="preserve">k</w:t>
      </w:r>
      <w:r>
        <w:t xml:space="preserve">-mer analysis of the short read sequencing dataset at</w:t>
      </w:r>
      <w:r>
        <w:t xml:space="preserve"> </w:t>
      </w:r>
      <m:oMath>
        <m:r>
          <m:t>k</m:t>
        </m:r>
        <m:r>
          <m:t>=</m:t>
        </m:r>
        <m:r>
          <m:t>31</m:t>
        </m:r>
      </m:oMath>
      <w:r>
        <w:t xml:space="preserve">.</w:t>
      </w:r>
      <w:r>
        <w:t xml:space="preserve"> </w:t>
      </w:r>
      <w:r>
        <w:rPr>
          <w:b/>
        </w:rPr>
        <w:t xml:space="preserve">A</w:t>
      </w:r>
      <w:r>
        <w:t xml:space="preserve"> </w:t>
      </w:r>
      <w:r>
        <w:rPr>
          <w:i/>
        </w:rPr>
        <w:t xml:space="preserve">k</w:t>
      </w:r>
      <w:r>
        <w:t xml:space="preserve">-mer distribution in the short read dataset before and after normalisation.</w:t>
      </w:r>
      <w:r>
        <w:t xml:space="preserve"> </w:t>
      </w:r>
      <w:r>
        <w:t xml:space="preserve">The peak at 84–216× coverage (highlighted in green) suggests a diploid genome with a haploid size of 967 Mb.</w:t>
      </w:r>
      <w:r>
        <w:t xml:space="preserve"> </w:t>
      </w:r>
      <w:r>
        <w:t xml:space="preserve">The haploid peak (22–56× coverage) indicates a high number of polymorphic sites in the single, male individual used to generate this dataset.</w:t>
      </w:r>
      <w:r>
        <w:t xml:space="preserve"> </w:t>
      </w:r>
      <w:r>
        <w:t xml:space="preserve">BBTools</w:t>
      </w:r>
      <w:r>
        <w:t xml:space="preserve"> </w:t>
      </w:r>
      <w:r>
        <w:t xml:space="preserve">[25]</w:t>
      </w:r>
      <w:r>
        <w:t xml:space="preserve"> </w:t>
      </w:r>
      <w:r>
        <w:t xml:space="preserve">estimated 2.1 polymorphisms per 100 bp in this dataset.</w:t>
      </w:r>
      <w:r>
        <w:t xml:space="preserve"> </w:t>
      </w:r>
      <w:r>
        <w:rPr>
          <w:b/>
        </w:rPr>
        <w:t xml:space="preserve">B</w:t>
      </w:r>
      <w:r>
        <w:t xml:space="preserve"> </w:t>
      </w:r>
      <w:r>
        <w:t xml:space="preserve">Cumulative percentage of all</w:t>
      </w:r>
      <w:r>
        <w:t xml:space="preserve"> </w:t>
      </w:r>
      <w:r>
        <w:rPr>
          <w:i/>
        </w:rPr>
        <w:t xml:space="preserve">k</w:t>
      </w:r>
      <w:r>
        <w:t xml:space="preserve">-mers</w:t>
      </w:r>
      <w:r>
        <w:t xml:space="preserve"> </w:t>
      </w:r>
      <w:r>
        <w:rPr>
          <w:i/>
        </w:rPr>
        <w:t xml:space="preserve">vs.</w:t>
      </w:r>
      <w:r>
        <w:t xml:space="preserve"> </w:t>
      </w:r>
      <w:r>
        <w:t xml:space="preserve">frequency.</w:t>
      </w:r>
      <w:r>
        <w:t xml:space="preserve"> </w:t>
      </w:r>
      <w:r>
        <w:t xml:space="preserve">72% of all</w:t>
      </w:r>
      <w:r>
        <w:t xml:space="preserve"> </w:t>
      </w:r>
      <w:r>
        <w:rPr>
          <w:i/>
        </w:rPr>
        <w:t xml:space="preserve">k</w:t>
      </w:r>
      <w:r>
        <w:t xml:space="preserve">-mers are at 216× or less coverage, indicating that the remaining 28% of</w:t>
      </w:r>
      <w:r>
        <w:t xml:space="preserve"> </w:t>
      </w:r>
      <w:r>
        <w:rPr>
          <w:i/>
        </w:rPr>
        <w:t xml:space="preserve">k</w:t>
      </w:r>
      <w:r>
        <w:t xml:space="preserve">-mers are repetitive.</w:t>
      </w:r>
      <w:r>
        <w:t xml:space="preserve"> </w:t>
      </w:r>
      <w:r>
        <w:t xml:space="preserve">The earlier inflexion point at 48% suggests that</w:t>
      </w:r>
      <w:r>
        <w:t xml:space="preserve"> </w:t>
      </w:r>
      <w:r>
        <w:rPr>
          <w:i/>
        </w:rPr>
        <w:t xml:space="preserve">k</w:t>
      </w:r>
      <w:r>
        <w:t xml:space="preserve">-mers in the region from 48–72% may also be from repetitive regions.</w:t>
      </w:r>
    </w:p>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image" Id="rId49" Target="media/rId49.pdf" /><Relationship Type="http://schemas.openxmlformats.org/officeDocument/2006/relationships/image" Id="rId171" Target="media/rId171.pdf" /><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_rels/footnotes.xml.rels><?xml version="1.0" encoding="UTF-8"?>
<Relationships xmlns="http://schemas.openxmlformats.org/package/2006/relationships"><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2020-06-03T23:27:13Z</dcterms:created>
  <dcterms:modified xsi:type="dcterms:W3CDTF">2020-06-03T23:27:13Z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ref/ASW.yaml</vt:lpwstr>
  </property>
  <property fmtid="{D5CDD505-2E9C-101B-9397-08002B2CF9AE}" pid="3" name="csl">
    <vt:lpwstr>ref/insects_doi.csl</vt:lpwstr>
  </property>
</Properties>
</file>